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57" w:rsidRDefault="001421B8" w:rsidP="00AA375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AA375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Муниципальное бюджетное дошкольное образовательное учреждение Нижнегорский детский сад «Чебурашка» </w:t>
      </w:r>
    </w:p>
    <w:p w:rsidR="001421B8" w:rsidRPr="00AA3757" w:rsidRDefault="001421B8" w:rsidP="00AA375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AA375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Нижнегорского района Республика Крым</w:t>
      </w:r>
    </w:p>
    <w:p w:rsidR="00AA3757" w:rsidRDefault="00AA3757" w:rsidP="00AA3757">
      <w:pPr>
        <w:rPr>
          <w:rFonts w:eastAsia="SimSun"/>
          <w:sz w:val="24"/>
          <w:szCs w:val="24"/>
          <w:lang w:val="ru-RU" w:eastAsia="zh-CN"/>
        </w:rPr>
      </w:pPr>
    </w:p>
    <w:p w:rsidR="00AA3757" w:rsidRDefault="00AA3757" w:rsidP="00AA3757">
      <w:pPr>
        <w:rPr>
          <w:rFonts w:eastAsia="SimSun"/>
          <w:sz w:val="24"/>
          <w:szCs w:val="24"/>
          <w:lang w:val="ru-RU" w:eastAsia="zh-CN"/>
        </w:rPr>
      </w:pPr>
    </w:p>
    <w:p w:rsidR="00AA3757" w:rsidRDefault="00AA3757" w:rsidP="00AA3757">
      <w:pPr>
        <w:rPr>
          <w:rFonts w:eastAsia="SimSun"/>
          <w:sz w:val="24"/>
          <w:szCs w:val="24"/>
          <w:lang w:val="ru-RU" w:eastAsia="zh-CN"/>
        </w:rPr>
      </w:pPr>
    </w:p>
    <w:p w:rsidR="00AA3757" w:rsidRPr="00AA3757" w:rsidRDefault="00AA3757" w:rsidP="00AA3757">
      <w:pPr>
        <w:rPr>
          <w:lang w:val="ru-RU"/>
        </w:rPr>
      </w:pPr>
    </w:p>
    <w:p w:rsidR="00AA3757" w:rsidRPr="00AA3757" w:rsidRDefault="00AA3757" w:rsidP="00AA3757">
      <w:pPr>
        <w:rPr>
          <w:lang w:val="ru-RU"/>
        </w:rPr>
      </w:pPr>
    </w:p>
    <w:p w:rsidR="00AA3757" w:rsidRDefault="00AA3757" w:rsidP="00AA3757">
      <w:pPr>
        <w:jc w:val="center"/>
        <w:rPr>
          <w:b/>
          <w:bCs/>
          <w:sz w:val="28"/>
          <w:szCs w:val="28"/>
          <w:lang w:val="ru-RU"/>
        </w:rPr>
      </w:pPr>
      <w:r w:rsidRPr="00AA3757">
        <w:rPr>
          <w:b/>
          <w:bCs/>
          <w:sz w:val="28"/>
          <w:szCs w:val="28"/>
          <w:lang w:val="ru-RU"/>
        </w:rPr>
        <w:t xml:space="preserve">Публичный отчет </w:t>
      </w:r>
    </w:p>
    <w:p w:rsidR="00AA3757" w:rsidRPr="00AA3757" w:rsidRDefault="00AA3757" w:rsidP="00AA3757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</w:t>
      </w:r>
      <w:r w:rsidRPr="00AA3757">
        <w:rPr>
          <w:b/>
          <w:bCs/>
          <w:sz w:val="28"/>
          <w:szCs w:val="28"/>
          <w:lang w:val="ru-RU"/>
        </w:rPr>
        <w:t>аведующего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</w:t>
      </w:r>
      <w:bookmarkStart w:id="0" w:name="_GoBack"/>
      <w:bookmarkEnd w:id="0"/>
      <w:r w:rsidRPr="00AA3757">
        <w:rPr>
          <w:b/>
          <w:sz w:val="28"/>
          <w:szCs w:val="28"/>
          <w:lang w:val="ru-RU"/>
        </w:rPr>
        <w:t xml:space="preserve">униципального </w:t>
      </w:r>
      <w:r>
        <w:rPr>
          <w:b/>
          <w:sz w:val="28"/>
          <w:szCs w:val="28"/>
          <w:lang w:val="ru-RU"/>
        </w:rPr>
        <w:t xml:space="preserve">бюджетного </w:t>
      </w:r>
      <w:r w:rsidRPr="00AA3757">
        <w:rPr>
          <w:b/>
          <w:sz w:val="28"/>
          <w:szCs w:val="28"/>
          <w:lang w:val="ru-RU"/>
        </w:rPr>
        <w:t>дошкольного</w:t>
      </w:r>
    </w:p>
    <w:p w:rsidR="00AA3757" w:rsidRPr="00AA3757" w:rsidRDefault="00AA3757" w:rsidP="00AA3757">
      <w:pPr>
        <w:jc w:val="center"/>
        <w:rPr>
          <w:b/>
          <w:sz w:val="28"/>
          <w:szCs w:val="28"/>
          <w:lang w:val="ru-RU"/>
        </w:rPr>
      </w:pPr>
      <w:r w:rsidRPr="00AA3757">
        <w:rPr>
          <w:b/>
          <w:sz w:val="28"/>
          <w:szCs w:val="28"/>
          <w:lang w:val="ru-RU"/>
        </w:rPr>
        <w:t xml:space="preserve">образовательного учреждения </w:t>
      </w:r>
    </w:p>
    <w:p w:rsidR="00AA3757" w:rsidRDefault="00AA3757" w:rsidP="00AA37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Нижнегорский детский сад «Чебурашка» </w:t>
      </w:r>
    </w:p>
    <w:p w:rsidR="00AA3757" w:rsidRPr="00AA3757" w:rsidRDefault="00AA3757" w:rsidP="00AA37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Нижнегорского района Республики  Крым </w:t>
      </w:r>
    </w:p>
    <w:p w:rsidR="00AA3757" w:rsidRPr="00AA3757" w:rsidRDefault="00AA3757" w:rsidP="00AA3757">
      <w:pPr>
        <w:jc w:val="center"/>
        <w:rPr>
          <w:b/>
          <w:sz w:val="28"/>
          <w:szCs w:val="28"/>
          <w:lang w:val="ru-RU"/>
        </w:rPr>
      </w:pPr>
      <w:r w:rsidRPr="00AA3757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ru-RU"/>
        </w:rPr>
        <w:t>2021</w:t>
      </w:r>
      <w:r w:rsidRPr="00AA3757">
        <w:rPr>
          <w:b/>
          <w:sz w:val="28"/>
          <w:szCs w:val="28"/>
          <w:lang w:val="ru-RU"/>
        </w:rPr>
        <w:t xml:space="preserve"> – 202</w:t>
      </w:r>
      <w:r>
        <w:rPr>
          <w:b/>
          <w:sz w:val="28"/>
          <w:szCs w:val="28"/>
          <w:lang w:val="ru-RU"/>
        </w:rPr>
        <w:t>2</w:t>
      </w:r>
      <w:r w:rsidRPr="00AA3757">
        <w:rPr>
          <w:b/>
          <w:sz w:val="28"/>
          <w:szCs w:val="28"/>
          <w:lang w:val="ru-RU"/>
        </w:rPr>
        <w:t xml:space="preserve"> учебный год</w:t>
      </w:r>
    </w:p>
    <w:p w:rsidR="00AA3757" w:rsidRPr="00AA3757" w:rsidRDefault="00AA3757" w:rsidP="00AA3757">
      <w:pPr>
        <w:pStyle w:val="2"/>
        <w:spacing w:before="0"/>
        <w:rPr>
          <w:i/>
          <w:szCs w:val="32"/>
          <w:lang w:val="ru-RU"/>
        </w:rPr>
      </w:pPr>
    </w:p>
    <w:p w:rsidR="001421B8" w:rsidRDefault="00AA3757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A3757" w:rsidRDefault="00AA3757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3757" w:rsidRDefault="00AA3757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3757" w:rsidRDefault="00AA3757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3757" w:rsidRDefault="00AA3757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3757" w:rsidRDefault="00AA3757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3757" w:rsidRDefault="00AA3757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3757" w:rsidRPr="001421B8" w:rsidRDefault="00AA3757" w:rsidP="00AA375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3757" w:rsidRDefault="00AA3757" w:rsidP="00AA37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П.Нижнегорский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3757" w:rsidRPr="00F904B2" w:rsidRDefault="00AA3757" w:rsidP="00AA37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2022 г </w:t>
      </w:r>
    </w:p>
    <w:p w:rsidR="003311E5" w:rsidRPr="001421B8" w:rsidRDefault="00F904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931"/>
      </w:tblGrid>
      <w:tr w:rsidR="007634CD" w:rsidRPr="00AA3757" w:rsidTr="007634CD">
        <w:trPr>
          <w:trHeight w:val="115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1421B8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421B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Полное наименование образовательной</w:t>
            </w:r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421B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организации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7634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Муниципальное бюджетное дошкольное образовательное учреждение Нижнегорский детский сад «Чебурашка» Нижнегорского района Республика Крым </w:t>
            </w:r>
          </w:p>
        </w:tc>
      </w:tr>
      <w:tr w:rsidR="007634CD" w:rsidRPr="00AA3757" w:rsidTr="007634CD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Сокращенное</w:t>
            </w:r>
            <w:proofErr w:type="spellEnd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МБДОУ Нижнегорский детский сад  «Чебурашка» 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Зосенко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Екатерина Александровна </w:t>
            </w:r>
          </w:p>
        </w:tc>
      </w:tr>
      <w:tr w:rsidR="007634CD" w:rsidRPr="00AA3757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297100,  Россий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ская Федерация, Республика Крым</w:t>
            </w: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Нижнегорский район, ул. 50 лет октября, 51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21-7-63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электронной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почты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AA3757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7634CD" w:rsidRPr="00647F8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ng.2.ds@nijno.rk.gov.ru</w:t>
              </w:r>
            </w:hyperlink>
            <w:r w:rsidR="007634CD" w:rsidRPr="007634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634CD" w:rsidRPr="00AA3757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Учредитель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Администрация Нижнегорского района Республики Крым  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создания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1967 г 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Лицензия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№0400 </w:t>
            </w:r>
            <w:proofErr w:type="spellStart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spellEnd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29.06.2016 г. </w:t>
            </w:r>
            <w:proofErr w:type="spellStart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  <w:proofErr w:type="spellEnd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82ЛО1 № 0000419</w:t>
            </w:r>
          </w:p>
        </w:tc>
      </w:tr>
      <w:tr w:rsidR="007634CD" w:rsidRPr="00D9412C" w:rsidTr="007634CD">
        <w:trPr>
          <w:trHeight w:val="147"/>
        </w:trPr>
        <w:tc>
          <w:tcPr>
            <w:tcW w:w="326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3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«Учреждение» является некоммерческой  организацией. 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Организационно-правовая форма – муниципальное бюджетное  учреждение.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Тип –  дошкольное образовательное учреждение.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 Нижнегорский детский сад «Чебурашка»  Нижнегорского района Республики Крым.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«Учреждение» работает по графику пятидневной рабочей недели с 7-30 часов до 18.00 часов. Выходные дни – суббота, воскресенье.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В настоящее время функционирует 6 групп с общей численностью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147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ребенка.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адрес МБДОУ:  </w:t>
      </w:r>
      <w:hyperlink r:id="rId7" w:history="1">
        <w:r w:rsidRPr="00647F8E">
          <w:rPr>
            <w:rStyle w:val="a3"/>
            <w:rFonts w:hAnsi="Times New Roman" w:cs="Times New Roman"/>
            <w:sz w:val="24"/>
            <w:szCs w:val="24"/>
            <w:lang w:val="ru-RU"/>
          </w:rPr>
          <w:t>ng.2.ds@nijno.rk.gov.ru</w:t>
        </w:r>
      </w:hyperlink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Целями проведения </w:t>
      </w:r>
      <w:proofErr w:type="spellStart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Нижнегорский детский сад «Чебурашка»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обеспечение доступности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. В процессе </w:t>
      </w:r>
      <w:proofErr w:type="spellStart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были проведены оценка</w:t>
      </w:r>
      <w:proofErr w:type="gramStart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образовательной деятельности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системы управления МБДОУ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содержания и качества подготовки воспитанников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организация </w:t>
      </w:r>
      <w:proofErr w:type="spellStart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-образовательного процесса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анализ движения воспитанников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качества кадрового, учебно-методического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библиотечно-информационного обеспечения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материально-технической базы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функционирования  внутренней системы оценки качества образования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анализ показателей деятельности МБДОУ</w:t>
      </w:r>
    </w:p>
    <w:p w:rsid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Вывод: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деятельности свидетельствует о хорошей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результативности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в предоставлении образовательных услуг.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"О</w:t>
      </w:r>
      <w:proofErr w:type="gram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Федерации«,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147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1,6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сформировано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Старшая  группа № 4 «Ягодки» –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 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Подготовительная группа №2«Лучики» – 27 человек  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Подготовительная группа №1  «Радуга»– 27 человек 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 группа №3 «Звездочки» – 25 человек 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группа №6 «Кнопочки» – 19 человек </w:t>
      </w: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группа №5 «Карамельки»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освоения основной образовательной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условиях самоизоляции было предусмотрено проведение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двух форматах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онлайн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записи занятий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имеющихся ресурсах (облачные сервисы Яндекс, 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Google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YouTube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). Право выбора предоставлялось родителям (законным представителям)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имеющихся условий для участия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занятиях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возможности техническая. Данные мониторинга посещения онлайн-занятий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количества просмотров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свидетельствует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достаточной вовлеченности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понимании родителями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образования своих детей.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20.12.2021.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 воспитательной работы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проводился анализ состава семей воспитанников.</w:t>
      </w:r>
    </w:p>
    <w:p w:rsidR="003311E5" w:rsidRPr="001421B8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4"/>
        <w:gridCol w:w="1932"/>
        <w:gridCol w:w="5127"/>
      </w:tblGrid>
      <w:tr w:rsidR="003311E5" w:rsidRPr="00AA3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9,8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8,84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3"/>
        <w:gridCol w:w="1910"/>
        <w:gridCol w:w="5000"/>
      </w:tblGrid>
      <w:tr w:rsidR="003311E5" w:rsidRPr="00AA3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36,7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21,7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двум направлениям: художественному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физкультурно-оздоровительному. Источник финансирования: средства бюджета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физических лиц.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"/>
        <w:gridCol w:w="2518"/>
        <w:gridCol w:w="1592"/>
        <w:gridCol w:w="963"/>
        <w:gridCol w:w="1023"/>
        <w:gridCol w:w="1023"/>
        <w:gridCol w:w="967"/>
        <w:gridCol w:w="1017"/>
      </w:tblGrid>
      <w:tr w:rsidR="003311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3311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АБВГДейка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ноябре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реализуется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м уровне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планирует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втором полугодии 2022 года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продолжить работу по дополнительному образованию.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6"/>
        <w:gridCol w:w="7307"/>
      </w:tblGrid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3311E5" w:rsidRPr="00AA3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3311E5" w:rsidRDefault="00F904B2" w:rsidP="001421B8">
            <w:pPr>
              <w:numPr>
                <w:ilvl w:val="0"/>
                <w:numId w:val="2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3311E5" w:rsidRDefault="00F904B2" w:rsidP="001421B8">
            <w:pPr>
              <w:numPr>
                <w:ilvl w:val="0"/>
                <w:numId w:val="2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3311E5" w:rsidRDefault="00F904B2" w:rsidP="001421B8">
            <w:pPr>
              <w:numPr>
                <w:ilvl w:val="0"/>
                <w:numId w:val="2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="001421B8" w:rsidRPr="001421B8">
              <w:rPr>
                <w:lang w:val="ru-RU"/>
              </w:rPr>
              <w:t xml:space="preserve"> </w:t>
            </w:r>
            <w:r w:rsidR="001421B8"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Нижнегорский детский сад «Чебурашка»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3311E5" w:rsidRPr="00F904B2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311E5" w:rsidRPr="00F904B2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3311E5" w:rsidRPr="00F904B2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3311E5" w:rsidRPr="00AA3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систему управления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внедрили элементы электронного документооборота. Это упростило работу организации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дистанционного функционирования. 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Внедрение электронного документа оборота было сопряжено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техническими сложностями, так как были сбои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обеспечением.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же возникла необходимость обучить всех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административный персонал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платформой «1С: Предприятие».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декабрю 2021 года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электронным документооборотом практически полностью наладилась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запланированном объеме. Электронный документооборот позволил добиться увеличения эффективности работы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%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счет быстроты доставки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подготовки документов, уменьшения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бумагу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расходных комплектующих для принтеров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МФУ.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2021 года система управления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диагностики:</w:t>
      </w:r>
    </w:p>
    <w:p w:rsidR="003311E5" w:rsidRPr="00F904B2" w:rsidRDefault="00F904B2" w:rsidP="001421B8">
      <w:pPr>
        <w:numPr>
          <w:ilvl w:val="0"/>
          <w:numId w:val="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3311E5" w:rsidRDefault="00F904B2" w:rsidP="001421B8">
      <w:pPr>
        <w:numPr>
          <w:ilvl w:val="0"/>
          <w:numId w:val="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11E5" w:rsidRDefault="00F904B2" w:rsidP="001421B8">
      <w:pPr>
        <w:numPr>
          <w:ilvl w:val="0"/>
          <w:numId w:val="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года выглядят следующим образом: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4"/>
        <w:gridCol w:w="890"/>
        <w:gridCol w:w="824"/>
        <w:gridCol w:w="840"/>
        <w:gridCol w:w="770"/>
        <w:gridCol w:w="894"/>
        <w:gridCol w:w="899"/>
        <w:gridCol w:w="958"/>
        <w:gridCol w:w="1735"/>
      </w:tblGrid>
      <w:tr w:rsidR="003311E5" w:rsidTr="001421B8">
        <w:tc>
          <w:tcPr>
            <w:tcW w:w="1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3311E5" w:rsidTr="001421B8">
        <w:tc>
          <w:tcPr>
            <w:tcW w:w="1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3311E5" w:rsidTr="001421B8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7,6%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45,5%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,4%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100 %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июне 2021 года педагоги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</w:t>
      </w: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Задания позволили оценить уровень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  <w:proofErr w:type="gramEnd"/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период самоизоляции, введенной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качестве ограничительного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Энской области, 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детьми воспитатели вели дистанционно через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WhatsApp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социальные сети. Подключали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работе родителей. Чтобы они могли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воспитании, организовывали для них консультации, помогали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литературой, совместно решали технические проблемы.</w:t>
      </w:r>
    </w:p>
    <w:p w:rsidR="001421B8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Опрос музыкального руководителя, педагога-психолога, педагога-логопеда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показал, что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техническими сложностями проведения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режиме, были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организации занятий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стороны родителей. Вывод: подобные занятия лучше проводить преимущественно при очном взаимодействии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Оценка организации учебного процесса </w:t>
      </w:r>
      <w:proofErr w:type="gramStart"/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proofErr w:type="gramEnd"/>
      <w:r w:rsid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процесса)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3311E5" w:rsidRPr="00F904B2" w:rsidRDefault="00F904B2" w:rsidP="001421B8">
      <w:pPr>
        <w:numPr>
          <w:ilvl w:val="0"/>
          <w:numId w:val="6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3311E5" w:rsidRPr="00F904B2" w:rsidRDefault="00F904B2" w:rsidP="001421B8">
      <w:pPr>
        <w:numPr>
          <w:ilvl w:val="0"/>
          <w:numId w:val="6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признаками инфекционных заболеваний изолируются,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уведомляет территориальный орган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3311E5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1421B8" w:rsidRPr="001421B8" w:rsidRDefault="001421B8" w:rsidP="001421B8">
      <w:pPr>
        <w:spacing w:before="0" w:beforeAutospacing="0"/>
        <w:ind w:left="134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укомплектован педагогами на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</w:t>
      </w:r>
      <w:r w:rsidRPr="001421B8">
        <w:rPr>
          <w:lang w:val="ru-RU"/>
        </w:rPr>
        <w:t xml:space="preserve">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насчитывает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3311E5" w:rsidRDefault="00F904B2" w:rsidP="001421B8">
      <w:pPr>
        <w:numPr>
          <w:ilvl w:val="0"/>
          <w:numId w:val="9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3311E5" w:rsidRDefault="00F904B2" w:rsidP="001421B8">
      <w:pPr>
        <w:numPr>
          <w:ilvl w:val="0"/>
          <w:numId w:val="9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воспитанники/все сотрудники — 4,2/1.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3311E5" w:rsidRDefault="00F904B2" w:rsidP="001421B8">
      <w:pPr>
        <w:numPr>
          <w:ilvl w:val="0"/>
          <w:numId w:val="10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421B8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1421B8">
        <w:rPr>
          <w:rFonts w:hAnsi="Times New Roman" w:cs="Times New Roman"/>
          <w:color w:val="000000"/>
          <w:sz w:val="24"/>
          <w:szCs w:val="24"/>
        </w:rPr>
        <w:t>воспитател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11E5" w:rsidRDefault="00F904B2" w:rsidP="001421B8">
      <w:pPr>
        <w:numPr>
          <w:ilvl w:val="0"/>
          <w:numId w:val="10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квалификационную категорию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421B8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1421B8">
        <w:rPr>
          <w:rFonts w:hAnsi="Times New Roman" w:cs="Times New Roman"/>
          <w:color w:val="000000"/>
          <w:sz w:val="24"/>
          <w:szCs w:val="24"/>
        </w:rPr>
        <w:t>воспитател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прошли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них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педагогов. </w:t>
      </w: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2021 года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все соответствуют квалификационным требованиям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педагоги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приняли участие: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Всероссийском онлайн – семинаре Ассоциации руководителей образовательных организаций «Рабочая программа воспитания в ДОО: организация эстетического воспитания и художественн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эстетического развития дошкольников»;  </w:t>
      </w:r>
    </w:p>
    <w:p w:rsidR="003311E5" w:rsidRPr="00F904B2" w:rsidRDefault="00F904B2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</w:rPr>
        <w:t>V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  юбилейной Профсоюзной педагогической школы «Будущее </w:t>
      </w:r>
      <w:proofErr w:type="spellStart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Нижнегорья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во </w:t>
      </w:r>
      <w:r w:rsidRPr="001421B8">
        <w:rPr>
          <w:rFonts w:hAnsi="Times New Roman" w:cs="Times New Roman"/>
          <w:color w:val="000000"/>
          <w:sz w:val="24"/>
          <w:szCs w:val="24"/>
        </w:rPr>
        <w:t>II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Всероссийском форуме «Воспитатели России»: «Воспитываем здорового ребёнка. Регионы»; 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Всероссийском онлайн – семинаре Ассоциации руководителей образовательных организаций «Рабочая программа воспитания в ДОО: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 нравственного воспитания и социально – коммуникативного развития»;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во  Всероссийском форуме «Воспитатели России»: «Воспитываем здорового ребёнка. Цифровая эпоха»;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форуме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 дошкольного образования «Ориентиры детства3.0»;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Всероссийском онлайн – семинаре Ассоциации руководителей образовательных организаций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«Технология разработки программы воспитания в условиях ДОД: концепция и структура, диагностика результатов воспитания в ДОД»;</w:t>
      </w:r>
    </w:p>
    <w:p w:rsidR="001421B8" w:rsidRPr="001421B8" w:rsidRDefault="001421B8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Всероссийском педагогическом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«Творческий воспитатель- 2021».</w:t>
      </w:r>
    </w:p>
    <w:p w:rsidR="003311E5" w:rsidRDefault="00F904B2" w:rsidP="001421B8">
      <w:pPr>
        <w:spacing w:before="0" w:before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1421B8" w:rsidRPr="00F904B2" w:rsidRDefault="001421B8" w:rsidP="001421B8">
      <w:pPr>
        <w:spacing w:before="0" w:before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библиотека является составной частью методической службы.</w:t>
      </w:r>
      <w:r w:rsidRPr="00F904B2">
        <w:rPr>
          <w:lang w:val="ru-RU"/>
        </w:rPr>
        <w:br/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3311E5" w:rsidRPr="00AA3757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пополнил учебно-методический компле</w:t>
      </w: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имерной общеобразовательной программе дошкольного образования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школы»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Информационное обеспечение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включает:</w:t>
      </w:r>
    </w:p>
    <w:p w:rsidR="003311E5" w:rsidRPr="00F904B2" w:rsidRDefault="00F904B2" w:rsidP="001421B8">
      <w:pPr>
        <w:numPr>
          <w:ilvl w:val="0"/>
          <w:numId w:val="13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3311E5" w:rsidRPr="00F904B2" w:rsidRDefault="003311E5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оборудованы помещения: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3311E5" w:rsidRPr="001421B8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1421B8" w:rsidRPr="001421B8" w:rsidRDefault="001421B8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педагога психолога и учителя – логопеда- 1;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 — 1;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2022 году необходимо продолжить модернизацию цифрового обучающего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19.09.2016.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87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года воспитанники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.10.2021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.10.2021 проводилось анкетирование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104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3311E5" w:rsidRPr="00F904B2" w:rsidRDefault="00F904B2" w:rsidP="001421B8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97%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1421B8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97%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1421B8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85%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1421B8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98%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1421B8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100%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опроса родителей (законных представителей)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применения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дистанционных технологий свидетельствуют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дистанционном режиме. </w:t>
      </w: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Pr="00F904B2" w:rsidRDefault="001421B8" w:rsidP="001421B8">
      <w:pPr>
        <w:spacing w:before="0" w:before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30.12.2020.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48"/>
        <w:gridCol w:w="1302"/>
        <w:gridCol w:w="1433"/>
      </w:tblGrid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3311E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дошкольного </w:t>
            </w:r>
            <w:proofErr w:type="gram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10,5ч.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12—14-часового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1,47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proofErr w:type="gram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right"/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1 (1</w:t>
            </w:r>
            <w:proofErr w:type="gramStart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,47</w:t>
            </w:r>
            <w:proofErr w:type="gramEnd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right"/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1 (1</w:t>
            </w:r>
            <w:proofErr w:type="gramStart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,47</w:t>
            </w:r>
            <w:proofErr w:type="gramEnd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1421B8">
              <w:rPr>
                <w:lang w:val="ru-RU"/>
              </w:rPr>
              <w:br/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lang w:val="ru-RU"/>
              </w:rPr>
              <w:t>0,42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F904B2">
              <w:rPr>
                <w:lang w:val="ru-RU"/>
              </w:rPr>
              <w:br/>
            </w:r>
            <w:proofErr w:type="spell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1421B8">
              <w:rPr>
                <w:lang w:val="ru-RU"/>
              </w:rPr>
              <w:br/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63,4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(удельный вес численности) педагогических 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36,3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1B8" w:rsidRDefault="00F904B2" w:rsidP="001421B8">
            <w:pPr>
              <w:spacing w:before="0" w:beforeAutospacing="0"/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1B8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1421B8">
              <w:rPr>
                <w:rFonts w:hAnsi="Times New Roman" w:cs="Times New Roman"/>
                <w:sz w:val="24"/>
                <w:szCs w:val="24"/>
              </w:rPr>
              <w:t>/</w:t>
            </w:r>
          </w:p>
          <w:p w:rsidR="003311E5" w:rsidRPr="001421B8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 w:rsidRPr="001421B8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F904B2" w:rsidRPr="001421B8">
              <w:rPr>
                <w:rFonts w:hAnsi="Times New Roman" w:cs="Times New Roman"/>
                <w:sz w:val="24"/>
                <w:szCs w:val="24"/>
              </w:rPr>
              <w:t>/</w:t>
            </w: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3311E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proofErr w:type="gramStart"/>
            <w:r w:rsidRPr="001421B8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1421B8">
              <w:rPr>
                <w:rFonts w:hAnsi="Times New Roman" w:cs="Times New Roman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2.5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</w:pPr>
            <w:proofErr w:type="spellStart"/>
            <w:proofErr w:type="gramStart"/>
            <w:r w:rsidRPr="001421B8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1421B8">
              <w:rPr>
                <w:rFonts w:hAnsi="Times New Roman" w:cs="Times New Roman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имеет достаточную инфраструктуру, которая соответствует требованиям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укомплектован достаточным количеством педагогических и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3311E5" w:rsidRPr="00F904B2" w:rsidSect="001421B8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43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50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23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1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77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C3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94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844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593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D43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661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0F54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464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9E3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21B8"/>
    <w:rsid w:val="002D33B1"/>
    <w:rsid w:val="002D3591"/>
    <w:rsid w:val="003311E5"/>
    <w:rsid w:val="003514A0"/>
    <w:rsid w:val="004F7E17"/>
    <w:rsid w:val="005A05CE"/>
    <w:rsid w:val="00653AF6"/>
    <w:rsid w:val="007634CD"/>
    <w:rsid w:val="00AA3757"/>
    <w:rsid w:val="00B73A5A"/>
    <w:rsid w:val="00E438A1"/>
    <w:rsid w:val="00F01E19"/>
    <w:rsid w:val="00F9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634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21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1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A3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634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21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1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A3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g.2.ds@nijn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.2.ds@nijno.r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2022-04-14T06:55:00Z</cp:lastPrinted>
  <dcterms:created xsi:type="dcterms:W3CDTF">2022-11-24T11:13:00Z</dcterms:created>
  <dcterms:modified xsi:type="dcterms:W3CDTF">2022-11-24T11:13:00Z</dcterms:modified>
</cp:coreProperties>
</file>