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08"/>
        <w:tblBorders>
          <w:top w:color="000000" w:sz="6" w:val="wave"/>
          <w:left w:color="000000" w:val="nil"/>
          <w:bottom w:color="000000" w:sz="6" w:val="wave"/>
          <w:right w:color="000000" w:val="nil"/>
          <w:insideH w:color="000000" w:sz="6" w:val="wave"/>
          <w:insideV w:color="000000" w:sz="6" w:val="wave"/>
        </w:tblBorders>
        <w:tblLayout w:type="fixed"/>
      </w:tblPr>
      <w:tblGrid>
        <w:gridCol w:w="5387"/>
        <w:gridCol w:w="5670"/>
        <w:gridCol w:w="5475"/>
      </w:tblGrid>
      <w:tr>
        <w:trPr>
          <w:trHeight w:hRule="atLeast" w:val="10851"/>
        </w:trPr>
        <w:tc>
          <w:tcPr>
            <w:tcW w:type="dxa" w:w="5387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</w:tcPr>
          <w:p w14:paraId="01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b w:val="1"/>
                <w:color w:val="000000"/>
              </w:rPr>
              <w:t>Научите Вашего ребёнка:</w:t>
            </w:r>
          </w:p>
          <w:p w14:paraId="02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14:paraId="03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найти общий язык с каждым учеником в классе;</w:t>
            </w:r>
          </w:p>
          <w:p w14:paraId="04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приглашать одноклассников в гости;</w:t>
            </w:r>
          </w:p>
          <w:p w14:paraId="05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научиться уважать мнение своих одноклассников;</w:t>
            </w:r>
          </w:p>
          <w:p w14:paraId="06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14:paraId="07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14:paraId="08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  <w:r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14:paraId="09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Советы родителям </w:t>
            </w:r>
          </w:p>
          <w:p w14:paraId="0A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наладить контакты с учителями и одноклассниками;</w:t>
            </w:r>
          </w:p>
          <w:p w14:paraId="0B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14:paraId="0C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14:paraId="0D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14:paraId="0E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14:paraId="0F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14:paraId="10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  <w:r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14:paraId="11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не пытаться выделять своего ребёнка среди одноклассников «</w:t>
            </w:r>
            <w:r>
              <w:rPr>
                <w:color w:val="000000"/>
              </w:rPr>
              <w:t>элитностью</w:t>
            </w:r>
            <w:r>
              <w:rPr>
                <w:color w:val="000000"/>
              </w:rPr>
              <w:t>» одежды и особой гламурностью;</w:t>
            </w:r>
          </w:p>
          <w:p w14:paraId="12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  <w:bookmarkStart w:id="1" w:name="_GoBack"/>
            <w:bookmarkEnd w:id="1"/>
          </w:p>
          <w:p w14:paraId="13000000">
            <w:pPr>
              <w:ind/>
              <w:contextualSpacing w:val="1"/>
              <w:rPr>
                <w:rFonts w:ascii="Times New Roman" w:hAnsi="Times New Roman"/>
                <w:b w:val="1"/>
                <w:color w:val="FB5D05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 xml:space="preserve">Цель </w:t>
            </w: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>буллинга</w:t>
            </w:r>
            <w:r>
              <w:rPr>
                <w:rFonts w:ascii="Times New Roman" w:hAnsi="Times New Roman"/>
                <w:b w:val="1"/>
                <w:color w:val="0070C0"/>
                <w:sz w:val="24"/>
              </w:rPr>
              <w:t xml:space="preserve"> –</w:t>
            </w:r>
            <w:r>
              <w:rPr>
                <w:rFonts w:ascii="Times New Roman" w:hAnsi="Times New Roman"/>
                <w:b w:val="1"/>
                <w:color w:val="FB5D0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14:paraId="14000000">
            <w:pPr>
              <w:ind/>
              <w:contextualSpacing w:val="1"/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 xml:space="preserve">Для </w:t>
            </w: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>буллинга</w:t>
            </w: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 xml:space="preserve"> характерно:</w:t>
            </w:r>
          </w:p>
          <w:p w14:paraId="15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14:paraId="16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14:paraId="17000000">
            <w:pPr>
              <w:ind/>
              <w:contextualSpacing w:val="1"/>
              <w:rPr>
                <w:rFonts w:ascii="Times New Roman" w:hAnsi="Times New Roman"/>
                <w:b w:val="1"/>
                <w:i w:val="1"/>
                <w:color w:val="0070C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>Буллинг</w:t>
            </w:r>
            <w:r>
              <w:rPr>
                <w:rFonts w:ascii="Times New Roman" w:hAnsi="Times New Roman"/>
                <w:b w:val="1"/>
                <w:i w:val="1"/>
                <w:color w:val="0070C0"/>
                <w:sz w:val="24"/>
              </w:rPr>
              <w:t xml:space="preserve"> бывает прямым и косвенным.</w:t>
            </w:r>
            <w:r>
              <w:rPr>
                <w:rFonts w:ascii="Times New Roman" w:hAnsi="Times New Roman"/>
                <w:b w:val="1"/>
                <w:i w:val="1"/>
                <w:color w:val="0070C0"/>
                <w:sz w:val="28"/>
              </w:rPr>
              <w:t xml:space="preserve"> </w:t>
            </w:r>
          </w:p>
          <w:p w14:paraId="18000000">
            <w:pPr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тип предполагает открытое воздействие, избиения, оскорбления в лицо. </w:t>
            </w:r>
          </w:p>
          <w:p w14:paraId="19000000">
            <w:pPr>
              <w:ind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Arial" w:hAnsi="Arial"/>
                <w:color w:val="000000"/>
                <w:sz w:val="26"/>
              </w:rPr>
              <w:drawing>
                <wp:inline>
                  <wp:extent cx="2311729" cy="17337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311729" cy="17337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A000000">
            <w:pPr>
              <w:ind/>
              <w:contextualSpacing w:val="1"/>
              <w:rPr>
                <w:rFonts w:ascii="Arial" w:hAnsi="Arial"/>
                <w:color w:val="000000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/>
                <w:color w:val="000000"/>
                <w:sz w:val="26"/>
              </w:rPr>
              <w:t xml:space="preserve"> </w:t>
            </w:r>
          </w:p>
          <w:p w14:paraId="1B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i w:val="1"/>
                <w:color w:val="FB5D05"/>
                <w:sz w:val="28"/>
              </w:rPr>
            </w:pPr>
            <w:r>
              <w:rPr>
                <w:rFonts w:ascii="Arial" w:hAnsi="Arial"/>
                <w:color w:val="000000"/>
                <w:sz w:val="26"/>
              </w:rPr>
              <w:drawing>
                <wp:inline>
                  <wp:extent cx="1771650" cy="177165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771650" cy="1771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C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</w:p>
          <w:p w14:paraId="1D000000">
            <w:pPr>
              <w:pStyle w:val="Style_2"/>
              <w:spacing w:after="0" w:before="0" w:line="294" w:lineRule="atLeast"/>
              <w:ind/>
              <w:rPr>
                <w:b w:val="1"/>
                <w:i w:val="1"/>
                <w:color w:val="7030A0"/>
              </w:rPr>
            </w:pPr>
            <w:r>
              <w:rPr>
                <w:b w:val="1"/>
                <w:i w:val="1"/>
                <w:color w:val="7030A0"/>
              </w:rPr>
              <w:t xml:space="preserve"> </w:t>
            </w:r>
          </w:p>
          <w:p w14:paraId="1E000000">
            <w:pPr>
              <w:pStyle w:val="Style_2"/>
              <w:spacing w:after="0" w:before="0" w:line="294" w:lineRule="atLeast"/>
              <w:ind/>
              <w:rPr>
                <w:b w:val="1"/>
                <w:i w:val="1"/>
                <w:color w:val="7030A0"/>
              </w:rPr>
            </w:pPr>
          </w:p>
        </w:tc>
        <w:tc>
          <w:tcPr>
            <w:tcW w:type="dxa" w:w="5670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</w:tcPr>
          <w:p w14:paraId="1F000000">
            <w:pPr>
              <w:pStyle w:val="Style_2"/>
              <w:spacing w:after="0" w:before="0" w:line="294" w:lineRule="atLeast"/>
              <w:ind/>
              <w:jc w:val="center"/>
              <w:rPr>
                <w:rFonts w:ascii="Arial" w:hAnsi="Arial"/>
                <w:color w:val="000000"/>
              </w:rPr>
            </w:pPr>
            <w:r>
              <w:drawing>
                <wp:inline>
                  <wp:extent cx="1603169" cy="1603169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03169" cy="16031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20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14:paraId="21000000">
            <w:pPr>
              <w:pStyle w:val="Style_2"/>
              <w:spacing w:after="0" w:before="0" w:line="294" w:lineRule="atLeast"/>
              <w:ind/>
              <w:rPr>
                <w:color w:val="000000"/>
              </w:rPr>
            </w:pPr>
            <w:r>
              <w:rPr>
                <w:b w:val="1"/>
                <w:color w:val="000000"/>
              </w:rPr>
              <w:t xml:space="preserve">Если профилактические меры не помогли, и Ваш ребёнок оказался жертвой </w:t>
            </w:r>
            <w:r>
              <w:rPr>
                <w:b w:val="1"/>
                <w:color w:val="000000"/>
              </w:rPr>
              <w:t>буллинга</w:t>
            </w:r>
            <w:r>
              <w:rPr>
                <w:b w:val="1"/>
                <w:color w:val="000000"/>
              </w:rPr>
              <w:t>, Вам как родителям необходимо:</w:t>
            </w:r>
            <w:r>
              <w:rPr>
                <w:color w:val="000000"/>
              </w:rPr>
              <w:t xml:space="preserve"> </w:t>
            </w:r>
          </w:p>
          <w:p w14:paraId="22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14:paraId="23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прежде всего, понять истинную причину произошедшего с ним;</w:t>
            </w:r>
          </w:p>
          <w:p w14:paraId="24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- убедиться, что ваш ребёнок действительно стал жертвой школьного </w:t>
            </w:r>
            <w:r>
              <w:rPr>
                <w:color w:val="000000"/>
              </w:rPr>
              <w:t>буллинга</w:t>
            </w:r>
            <w:r>
              <w:rPr>
                <w:color w:val="000000"/>
              </w:rPr>
              <w:t>;</w:t>
            </w:r>
          </w:p>
          <w:p w14:paraId="25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сообщить об этом учителю и школьному психологу;</w:t>
            </w:r>
          </w:p>
          <w:p w14:paraId="26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сообща найти пути выхода из сложившийся ситуации;</w:t>
            </w:r>
          </w:p>
          <w:p w14:paraId="27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14:paraId="28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14:paraId="29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</w:t>
            </w:r>
            <w:r>
              <w:rPr>
                <w:color w:val="000000"/>
              </w:rPr>
              <w:t>психологу,психотерапевту</w:t>
            </w:r>
            <w:r>
              <w:rPr>
                <w:color w:val="000000"/>
              </w:rPr>
              <w:t>);</w:t>
            </w:r>
          </w:p>
          <w:p w14:paraId="2A000000">
            <w:pPr>
              <w:pStyle w:val="Style_2"/>
              <w:spacing w:after="0" w:before="0" w:line="294" w:lineRule="atLeast"/>
              <w:ind/>
            </w:pPr>
          </w:p>
          <w:p w14:paraId="2B000000">
            <w:pPr>
              <w:pStyle w:val="Style_2"/>
              <w:spacing w:after="0" w:before="0" w:line="294" w:lineRule="atLeast"/>
              <w:ind/>
            </w:pPr>
          </w:p>
          <w:p w14:paraId="2C000000">
            <w:pPr>
              <w:pStyle w:val="Style_3"/>
              <w:spacing w:after="0" w:before="0"/>
              <w:ind/>
              <w:contextualSpacing w:val="1"/>
              <w:rPr>
                <w:color w:val="000000"/>
              </w:rPr>
            </w:pPr>
          </w:p>
          <w:p w14:paraId="2D000000">
            <w:pPr>
              <w:pStyle w:val="Style_3"/>
              <w:spacing w:after="0" w:before="0"/>
              <w:ind/>
              <w:contextualSpacing w:val="1"/>
              <w:rPr>
                <w:color w:val="000000"/>
              </w:rPr>
            </w:pPr>
          </w:p>
          <w:p w14:paraId="2E000000">
            <w:pPr>
              <w:pStyle w:val="Style_3"/>
              <w:spacing w:after="0" w:before="0"/>
              <w:ind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14:paraId="2F000000">
            <w:pPr>
              <w:pStyle w:val="Style_3"/>
              <w:spacing w:after="0" w:before="0"/>
              <w:ind/>
              <w:contextualSpacing w:val="1"/>
              <w:rPr>
                <w:color w:val="000000"/>
              </w:rPr>
            </w:pPr>
            <w:r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14:paraId="30000000">
            <w:pPr>
              <w:numPr>
                <w:ilvl w:val="0"/>
                <w:numId w:val="1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70C0"/>
                <w:sz w:val="24"/>
              </w:rPr>
              <w:t>Внешние проявления</w:t>
            </w:r>
            <w:r>
              <w:rPr>
                <w:rFonts w:ascii="Times New Roman" w:hAnsi="Times New Roman"/>
                <w:color w:val="0070C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14:paraId="31000000">
            <w:pPr>
              <w:numPr>
                <w:ilvl w:val="0"/>
                <w:numId w:val="1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70C0"/>
                <w:sz w:val="24"/>
              </w:rPr>
              <w:t>Изменения характера</w:t>
            </w:r>
            <w:r>
              <w:rPr>
                <w:rFonts w:ascii="Times New Roman" w:hAnsi="Times New Roman"/>
                <w:color w:val="0070C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14:paraId="32000000">
            <w:pPr>
              <w:numPr>
                <w:ilvl w:val="0"/>
                <w:numId w:val="1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70C0"/>
                <w:sz w:val="24"/>
              </w:rPr>
              <w:t>Одиночество</w:t>
            </w:r>
            <w:r>
              <w:rPr>
                <w:rFonts w:ascii="Times New Roman" w:hAnsi="Times New Roman"/>
                <w:color w:val="0070C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14:paraId="33000000">
            <w:pPr>
              <w:ind/>
              <w:contextualSpacing w:val="1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/>
                <w:color w:val="FF0000"/>
                <w:sz w:val="24"/>
              </w:rPr>
              <w:t>!</w:t>
            </w:r>
          </w:p>
          <w:p w14:paraId="34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color w:val="0070C0"/>
                <w:sz w:val="24"/>
              </w:rPr>
            </w:pPr>
            <w:r>
              <w:rPr>
                <w:rFonts w:ascii="Times New Roman" w:hAnsi="Times New Roman"/>
                <w:b w:val="1"/>
                <w:color w:val="0070C0"/>
                <w:sz w:val="24"/>
              </w:rPr>
              <w:t xml:space="preserve">Методы прекращения </w:t>
            </w:r>
            <w:r>
              <w:rPr>
                <w:rFonts w:ascii="Times New Roman" w:hAnsi="Times New Roman"/>
                <w:b w:val="1"/>
                <w:color w:val="0070C0"/>
                <w:sz w:val="24"/>
              </w:rPr>
              <w:t>буллинга</w:t>
            </w:r>
            <w:r>
              <w:rPr>
                <w:rFonts w:ascii="Times New Roman" w:hAnsi="Times New Roman"/>
                <w:b w:val="1"/>
                <w:color w:val="0070C0"/>
                <w:sz w:val="24"/>
              </w:rPr>
              <w:t xml:space="preserve"> в школе</w:t>
            </w:r>
          </w:p>
          <w:p w14:paraId="35000000">
            <w:pPr>
              <w:ind/>
              <w:contextualSpacing w:val="1"/>
              <w:rPr>
                <w:rFonts w:ascii="Times New Roman" w:hAnsi="Times New Roman"/>
                <w:b w:val="1"/>
                <w:color w:val="0070C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Разговор с детьми младшего школьного возраста, порицание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До 12 лет проблему </w:t>
            </w:r>
            <w:r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школе решить проще, чем со старшими детьми.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14:paraId="36000000">
            <w:pPr>
              <w:numPr>
                <w:ilvl w:val="0"/>
                <w:numId w:val="2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Влияние на агрессора извне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      </w:r>
            <w:r>
              <w:rPr>
                <w:rFonts w:ascii="Times New Roman" w:hAnsi="Times New Roman"/>
                <w:color w:val="000000"/>
                <w:sz w:val="24"/>
              </w:rPr>
              <w:t>рефферентная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группа ровесников. </w:t>
            </w:r>
          </w:p>
          <w:p w14:paraId="37000000">
            <w:pPr>
              <w:pStyle w:val="Style_2"/>
              <w:spacing w:after="0" w:before="0" w:line="294" w:lineRule="atLeast"/>
              <w:ind/>
            </w:pPr>
            <w:r>
              <w:rPr>
                <w:b w:val="1"/>
                <w:color w:val="000000"/>
              </w:rPr>
              <w:t>Привлечение авторитетного союзника</w:t>
            </w:r>
            <w:r>
              <w:rPr>
                <w:color w:val="000000"/>
              </w:rPr>
              <w:t xml:space="preserve">. Сначала надо попробовать переубедить, объяснить недопустимость и неэффективность </w:t>
            </w:r>
            <w:r>
              <w:rPr>
                <w:color w:val="000000"/>
              </w:rPr>
              <w:t>буллинга</w:t>
            </w:r>
            <w:r>
              <w:rPr>
                <w:color w:val="000000"/>
              </w:rPr>
              <w:t>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дети уважают и </w:t>
            </w:r>
            <w:r>
              <w:rPr>
                <w:color w:val="000000"/>
              </w:rPr>
              <w:t>прислушиваюся</w:t>
            </w:r>
            <w:r>
              <w:rPr>
                <w:color w:val="000000"/>
              </w:rPr>
              <w:t>.</w:t>
            </w:r>
          </w:p>
        </w:tc>
        <w:tc>
          <w:tcPr>
            <w:tcW w:type="dxa" w:w="5475"/>
            <w:tcBorders>
              <w:top w:color="000000" w:sz="6" w:val="wave"/>
              <w:left w:color="000000" w:val="nil"/>
              <w:bottom w:color="000000" w:sz="6" w:val="wave"/>
              <w:right w:color="000000" w:val="nil"/>
            </w:tcBorders>
          </w:tcPr>
          <w:p w14:paraId="38000000">
            <w:pPr>
              <w:ind/>
              <w:jc w:val="center"/>
              <w:outlineLvl w:val="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МБОУ «Садовская СОШ»</w:t>
            </w:r>
          </w:p>
          <w:p w14:paraId="39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40"/>
              </w:rPr>
            </w:pPr>
          </w:p>
          <w:p w14:paraId="3A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36"/>
              </w:rPr>
            </w:pPr>
          </w:p>
          <w:p w14:paraId="3B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36"/>
              </w:rPr>
            </w:pPr>
          </w:p>
          <w:p w14:paraId="3C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36"/>
              </w:rPr>
            </w:pPr>
          </w:p>
          <w:p w14:paraId="3D000000">
            <w:pPr>
              <w:pStyle w:val="Style_2"/>
              <w:spacing w:after="0" w:before="0" w:line="294" w:lineRule="atLeast"/>
              <w:ind/>
              <w:jc w:val="center"/>
              <w:rPr>
                <w:b w:val="1"/>
                <w:color w:val="7030A0"/>
                <w:sz w:val="36"/>
              </w:rPr>
            </w:pPr>
            <w:r>
              <w:rPr>
                <w:b w:val="1"/>
                <w:color w:val="7030A0"/>
                <w:sz w:val="36"/>
              </w:rPr>
              <w:t xml:space="preserve">Как помочь ребёнку избежать школьного </w:t>
            </w:r>
            <w:r>
              <w:rPr>
                <w:b w:val="1"/>
                <w:color w:val="7030A0"/>
                <w:sz w:val="36"/>
              </w:rPr>
              <w:t>буллинга</w:t>
            </w:r>
          </w:p>
          <w:p w14:paraId="3E000000">
            <w:pPr>
              <w:pStyle w:val="Style_2"/>
              <w:spacing w:after="0" w:before="0" w:line="294" w:lineRule="atLeast"/>
              <w:ind/>
              <w:rPr>
                <w:b w:val="1"/>
                <w:color w:val="7030A0"/>
                <w:sz w:val="36"/>
              </w:rPr>
            </w:pPr>
          </w:p>
          <w:p w14:paraId="3F000000">
            <w:pPr>
              <w:pStyle w:val="Style_2"/>
              <w:spacing w:after="0" w:before="0" w:line="294" w:lineRule="atLeast"/>
              <w:ind/>
              <w:rPr>
                <w:rFonts w:ascii="Arial" w:hAnsi="Arial"/>
                <w:color w:val="000000"/>
                <w:sz w:val="21"/>
              </w:rPr>
            </w:pPr>
          </w:p>
          <w:p w14:paraId="40000000">
            <w:pPr>
              <w:pStyle w:val="Style_2"/>
              <w:spacing w:after="0" w:before="0" w:line="294" w:lineRule="atLeast"/>
              <w:ind/>
              <w:jc w:val="center"/>
              <w:rPr>
                <w:rFonts w:ascii="Arial" w:hAnsi="Arial"/>
                <w:color w:val="000000"/>
                <w:sz w:val="21"/>
              </w:rPr>
            </w:pPr>
          </w:p>
          <w:p w14:paraId="41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FB5D05"/>
                <w:sz w:val="44"/>
              </w:rPr>
            </w:pPr>
            <w:r>
              <w:rPr>
                <w:rFonts w:ascii="Arial" w:hAnsi="Arial"/>
                <w:color w:val="000000"/>
                <w:sz w:val="26"/>
              </w:rPr>
              <w:drawing>
                <wp:inline>
                  <wp:extent cx="3355568" cy="1745671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355568" cy="17456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42000000">
            <w:pPr>
              <w:ind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FB5D05"/>
                <w:sz w:val="44"/>
              </w:rPr>
            </w:pPr>
          </w:p>
          <w:p w14:paraId="43000000">
            <w:pPr>
              <w:ind/>
              <w:outlineLvl w:val="2"/>
              <w:rPr>
                <w:rFonts w:ascii="Times New Roman" w:hAnsi="Times New Roman"/>
                <w:b w:val="1"/>
                <w:i w:val="1"/>
                <w:color w:val="7030A0"/>
                <w:sz w:val="28"/>
              </w:rPr>
            </w:pPr>
          </w:p>
          <w:p w14:paraId="44000000">
            <w:pPr>
              <w:ind w:firstLine="0" w:left="34"/>
              <w:jc w:val="center"/>
              <w:outlineLvl w:val="2"/>
              <w:rPr>
                <w:rFonts w:ascii="Times New Roman" w:hAnsi="Times New Roman"/>
                <w:b w:val="1"/>
                <w:i w:val="1"/>
                <w:color w:val="0070C0"/>
                <w:sz w:val="32"/>
              </w:rPr>
            </w:pPr>
          </w:p>
          <w:tbl>
            <w:tblPr>
              <w:tblStyle w:val="Style_1"/>
              <w:tblInd w:type="dxa" w:w="2580"/>
              <w:tblLayout w:type="fixed"/>
            </w:tblPr>
            <w:tblGrid>
              <w:gridCol w:w="2835"/>
            </w:tblGrid>
            <w:tr>
              <w:trPr>
                <w:trHeight w:hRule="atLeast" w:val="1423"/>
              </w:trPr>
              <w:tc>
                <w:tcPr>
                  <w:tcW w:type="dxa" w:w="283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45000000">
                  <w:pPr>
                    <w:ind/>
                    <w:outlineLvl w:val="2"/>
                    <w:rPr>
                      <w:rFonts w:ascii="Times New Roman" w:hAnsi="Times New Roman"/>
                      <w:sz w:val="28"/>
                    </w:rPr>
                  </w:pPr>
                </w:p>
                <w:p w14:paraId="46000000">
                  <w:pPr>
                    <w:ind/>
                    <w:outlineLvl w:val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Подготовила: </w:t>
                  </w:r>
                </w:p>
                <w:p w14:paraId="47000000">
                  <w:pPr>
                    <w:ind/>
                    <w:outlineLvl w:val="2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педагог – психолог </w:t>
                  </w:r>
                </w:p>
                <w:p w14:paraId="48000000">
                  <w:pPr>
                    <w:ind/>
                    <w:outlineLvl w:val="2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sz w:val="32"/>
                    </w:rPr>
                    <w:t>Хаялиева А.С.</w:t>
                  </w:r>
                </w:p>
              </w:tc>
            </w:tr>
          </w:tbl>
          <w:p w14:paraId="49000000">
            <w:pPr>
              <w:ind/>
              <w:outlineLvl w:val="2"/>
              <w:rPr>
                <w:rFonts w:ascii="Times New Roman" w:hAnsi="Times New Roman"/>
                <w:sz w:val="32"/>
              </w:rPr>
            </w:pPr>
          </w:p>
          <w:p w14:paraId="4A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B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Садовое, 2026 г</w:t>
            </w:r>
          </w:p>
          <w:p w14:paraId="4C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D000000">
            <w:pPr>
              <w:ind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E000000">
            <w:pPr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</w:p>
          <w:p w14:paraId="4F000000">
            <w:pPr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беседы с детьми должен содержать такие ключевые моменты:</w:t>
            </w:r>
          </w:p>
          <w:p w14:paraId="50000000">
            <w:pPr>
              <w:numPr>
                <w:ilvl w:val="0"/>
                <w:numId w:val="3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Прямота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Называем проблему своим именем — это травля, </w:t>
            </w:r>
            <w:r>
              <w:rPr>
                <w:rFonts w:ascii="Times New Roman" w:hAnsi="Times New Roman"/>
                <w:color w:val="000000"/>
                <w:sz w:val="24"/>
              </w:rPr>
              <w:t>гнобление</w:t>
            </w:r>
            <w:r>
              <w:rPr>
                <w:rFonts w:ascii="Times New Roman" w:hAnsi="Times New Roman"/>
                <w:color w:val="000000"/>
                <w:sz w:val="24"/>
              </w:rPr>
      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14:paraId="51000000">
            <w:pPr>
              <w:numPr>
                <w:ilvl w:val="0"/>
                <w:numId w:val="3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Смена ролей</w:t>
            </w:r>
            <w:r>
              <w:rPr>
                <w:rFonts w:ascii="Times New Roman" w:hAnsi="Times New Roman"/>
                <w:color w:val="000000"/>
                <w:sz w:val="24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14:paraId="52000000">
            <w:pPr>
              <w:ind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 новых правил поведения и ответственность</w:t>
            </w:r>
            <w:r>
              <w:rPr>
                <w:rFonts w:ascii="Times New Roman" w:hAnsi="Times New Roman"/>
                <w:color w:val="000000"/>
                <w:sz w:val="24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14:paraId="53000000">
            <w:pPr>
              <w:numPr>
                <w:ilvl w:val="0"/>
                <w:numId w:val="3"/>
              </w:numPr>
              <w:ind w:firstLine="0" w:left="0"/>
              <w:contextualSpacing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Помощь специалиста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r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5400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rFonts w:ascii="Cambria" w:hAnsi="Cambria"/>
                <w:b w:val="1"/>
                <w:color w:val="000099"/>
              </w:rPr>
            </w:pPr>
            <w:r>
              <w:rPr>
                <w:rFonts w:ascii="Cambria" w:hAnsi="Cambria"/>
                <w:b w:val="1"/>
                <w:color w:val="000099"/>
                <w:highlight w:val="white"/>
              </w:rPr>
              <w:t xml:space="preserve">Телефон доверия </w:t>
            </w:r>
            <w:r>
              <w:rPr>
                <w:rFonts w:ascii="Cambria" w:hAnsi="Cambria"/>
                <w:b w:val="1"/>
                <w:color w:val="000099"/>
              </w:rPr>
              <w:t xml:space="preserve">круглосуточно, </w:t>
            </w:r>
          </w:p>
          <w:p w14:paraId="5500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rFonts w:ascii="Cambria" w:hAnsi="Cambria"/>
                <w:b w:val="1"/>
                <w:color w:val="000099"/>
              </w:rPr>
            </w:pPr>
            <w:r>
              <w:rPr>
                <w:rFonts w:ascii="Cambria" w:hAnsi="Cambria"/>
                <w:b w:val="1"/>
                <w:color w:val="000099"/>
              </w:rPr>
              <w:t>бесплатно и анонимно</w:t>
            </w:r>
          </w:p>
          <w:p w14:paraId="5600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rFonts w:ascii="Cambria" w:hAnsi="Cambria"/>
                <w:b w:val="1"/>
                <w:color w:val="000099"/>
                <w:highlight w:val="white"/>
              </w:rPr>
            </w:pPr>
            <w:r>
              <w:rPr>
                <w:rFonts w:ascii="Cambria" w:hAnsi="Cambria"/>
                <w:b w:val="1"/>
                <w:color w:val="000099"/>
                <w:highlight w:val="white"/>
              </w:rPr>
              <w:t>8-800-2000-122</w:t>
            </w:r>
          </w:p>
          <w:p w14:paraId="57000000">
            <w:pPr>
              <w:ind/>
              <w:outlineLvl w:val="2"/>
              <w:rPr>
                <w:rFonts w:ascii="Times New Roman" w:hAnsi="Times New Roman"/>
                <w:b w:val="1"/>
                <w:color w:val="2964A8"/>
                <w:sz w:val="40"/>
              </w:rPr>
            </w:pPr>
          </w:p>
          <w:p w14:paraId="58000000">
            <w:pPr>
              <w:ind/>
              <w:contextualSpacing w:val="1"/>
              <w:jc w:val="center"/>
              <w:rPr>
                <w:sz w:val="18"/>
              </w:rPr>
            </w:pPr>
          </w:p>
          <w:p w14:paraId="59000000">
            <w:pPr>
              <w:ind/>
              <w:contextualSpacing w:val="1"/>
              <w:jc w:val="center"/>
              <w:rPr>
                <w:sz w:val="18"/>
              </w:rPr>
            </w:pPr>
          </w:p>
        </w:tc>
      </w:tr>
    </w:tbl>
    <w:p w14:paraId="5A000000"/>
    <w:sectPr>
      <w:pgSz w:h="11906" w:orient="landscape" w:w="16838"/>
      <w:pgMar w:bottom="113" w:footer="709" w:gutter="0" w:header="709" w:left="113" w:right="17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paragraph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paragraph"/>
    <w:basedOn w:val="Style_4_ch"/>
    <w:link w:val="Style_3"/>
    <w:rPr>
      <w:rFonts w:ascii="Times New Roman" w:hAnsi="Times New Roman"/>
      <w:sz w:val="24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4"/>
    <w:link w:val="Style_12_ch"/>
    <w:pPr>
      <w:ind w:firstLine="0" w:left="720"/>
      <w:contextualSpacing w:val="1"/>
    </w:pPr>
  </w:style>
  <w:style w:styleId="Style_12_ch" w:type="character">
    <w:name w:val="List Paragraph"/>
    <w:basedOn w:val="Style_4_ch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msoaddress"/>
    <w:link w:val="Style_14_ch"/>
    <w:pPr>
      <w:spacing w:after="0" w:line="240" w:lineRule="auto"/>
      <w:ind/>
    </w:pPr>
    <w:rPr>
      <w:rFonts w:ascii="Arial" w:hAnsi="Arial"/>
      <w:color w:val="000000"/>
      <w:sz w:val="18"/>
    </w:rPr>
  </w:style>
  <w:style w:styleId="Style_14_ch" w:type="character">
    <w:name w:val="msoaddress"/>
    <w:link w:val="Style_14"/>
    <w:rPr>
      <w:rFonts w:ascii="Arial" w:hAnsi="Arial"/>
      <w:color w:val="000000"/>
      <w:sz w:val="18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0"/>
    <w:link w:val="Style_16_ch"/>
    <w:rPr>
      <w:color w:themeColor="hyperlink" w:val="0000FF"/>
      <w:u w:val="single"/>
    </w:rPr>
  </w:style>
  <w:style w:styleId="Style_16_ch" w:type="character">
    <w:name w:val="Hyperlink"/>
    <w:basedOn w:val="Style_10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Subtitle"/>
    <w:basedOn w:val="Style_4"/>
    <w:link w:val="Style_24_ch"/>
    <w:uiPriority w:val="11"/>
    <w:qFormat/>
    <w:pPr>
      <w:spacing w:after="60" w:line="240" w:lineRule="auto"/>
      <w:ind/>
      <w:jc w:val="center"/>
    </w:pPr>
    <w:rPr>
      <w:rFonts w:ascii="Cambria" w:hAnsi="Cambria"/>
      <w:color w:val="000000"/>
      <w:sz w:val="24"/>
    </w:rPr>
  </w:style>
  <w:style w:styleId="Style_24_ch" w:type="character">
    <w:name w:val="Subtitle"/>
    <w:basedOn w:val="Style_4_ch"/>
    <w:link w:val="Style_24"/>
    <w:rPr>
      <w:rFonts w:ascii="Cambria" w:hAnsi="Cambria"/>
      <w:color w:val="000000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2026-01-26T16:33:06Z</dcterms:modified>
</cp:coreProperties>
</file>