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sz w:val="28"/>
        </w:rPr>
      </w:pPr>
      <w:r>
        <w:rPr>
          <w:sz w:val="28"/>
        </w:rPr>
        <w:t xml:space="preserve">МБОУ «Нижнегорская школа-гимназия»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  <w:t xml:space="preserve">Нижнегорского района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  <w:t xml:space="preserve">Республики Крым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  <w:rPr>
          <w:b/>
          <w:sz w:val="32"/>
        </w:rPr>
      </w:pPr>
      <w:r>
        <w:rPr>
          <w:b/>
          <w:sz w:val="32"/>
        </w:rPr>
        <w:t xml:space="preserve">ЖУРНАЛ</w:t>
      </w:r>
      <w:r>
        <w:rPr>
          <w:b/>
          <w:sz w:val="32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учёта проведения занятий по гражданской обороне</w:t>
      </w:r>
      <w:r>
        <w:rPr>
          <w:b/>
          <w:sz w:val="24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на 2024</w:t>
      </w:r>
      <w:r>
        <w:rPr>
          <w:b/>
          <w:sz w:val="24"/>
        </w:rPr>
        <w:t xml:space="preserve"> год</w:t>
      </w:r>
      <w:r>
        <w:rPr>
          <w:b/>
          <w:sz w:val="24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с </w:t>
      </w:r>
      <w:r>
        <w:rPr>
          <w:b/>
          <w:sz w:val="24"/>
        </w:rPr>
        <w:t xml:space="preserve">педагогическими работниками, не входящими в состав</w:t>
      </w:r>
      <w:r>
        <w:rPr>
          <w:b/>
          <w:sz w:val="24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 невоенизированных формирований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Группа   №2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Руководит</w:t>
      </w:r>
      <w:r>
        <w:rPr>
          <w:sz w:val="24"/>
        </w:rPr>
        <w:t xml:space="preserve">ель учебной группы – Иванцова Н. В.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rPr>
          <w:sz w:val="24"/>
        </w:rPr>
      </w:pPr>
      <w:r>
        <w:t xml:space="preserve">                                                                                                                                       </w:t>
      </w:r>
      <w:r>
        <w:rPr>
          <w:sz w:val="24"/>
        </w:rPr>
        <w:t xml:space="preserve">Начат:</w:t>
      </w:r>
      <w:r>
        <w:rPr>
          <w:sz w:val="24"/>
        </w:rPr>
        <w:t xml:space="preserve">          11.01.2024</w:t>
      </w:r>
      <w:r>
        <w:rPr>
          <w:sz w:val="24"/>
        </w:rPr>
      </w:r>
    </w:p>
    <w:p>
      <w:pPr>
        <w:pStyle w:val="621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             </w:t>
      </w:r>
      <w:r>
        <w:rPr>
          <w:sz w:val="24"/>
        </w:rPr>
        <w:t xml:space="preserve"> Окончен:</w:t>
      </w:r>
      <w:r>
        <w:rPr>
          <w:sz w:val="28"/>
        </w:rPr>
      </w:r>
    </w:p>
    <w:p>
      <w:r/>
      <w:r/>
    </w:p>
    <w:p>
      <w:r/>
      <w:r/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УТВЕРЖДАЮ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ГО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Директор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МБОУ «Нижнегорская школа-гимназия» 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С.С. Пацай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«11» января 2024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г.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Расписание</w:t>
      </w:r>
      <w:r>
        <w:rPr>
          <w:rFonts w:ascii="Times New Roman" w:hAnsi="Times New Roman" w:cs="Times New Roman"/>
          <w:b/>
          <w:sz w:val="26"/>
          <w:szCs w:val="26"/>
          <w:lang w:val="ru-RU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Занятий с педагогическим составом не входящим в состав невоен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изированных формирований на 2024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г.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tbl>
      <w:tblPr>
        <w:tblStyle w:val="622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8"/>
        <w:gridCol w:w="1744"/>
        <w:gridCol w:w="3969"/>
        <w:gridCol w:w="1666"/>
      </w:tblGrid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темы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Кто проводит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11.01.24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Нормативно-правовое регулирование по подготовке к защите населения, материальных и культурных ценностей от опасностей военного характера, ЧС и пожаров.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18.01.24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08.02.24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Опасности, возникающие при ведении военных действий или вследствие этих действий, при ЧС и пожарах. Основные мероприятия по подготовке к защите и по защите населения от них.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15.02.24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14.03.24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Действия работников организаций при угрозе и (или) возникновении ЧС природного характера.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11.04.24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25.04.24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16.05.24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Действия работников организаций в чрезвычайных ситуациях техногенного характера, а также при угрозе и совершении террористического акта.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05.09.24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19.09.24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Действия работников организаций в условиях негативных и опасных факторов бытового характера.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03.10.24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14.11.24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Действия работников организаций при пожаре.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333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12.12.24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29.12.24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Оказание первой медицинской помощи. Основы ухода за больными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Иванцова Н.В.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Руководитель группы                                                                                 Иванцова Н.В.</w:t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>
        <w:rPr>
          <w:rFonts w:ascii="Times New Roman" w:hAnsi="Times New Roman" w:cs="Times New Roman"/>
          <w:sz w:val="26"/>
          <w:szCs w:val="26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Korchakov</dc:creator>
  <cp:keywords/>
  <dc:description/>
  <cp:lastModifiedBy>Аноним</cp:lastModifiedBy>
  <cp:revision>7</cp:revision>
  <dcterms:created xsi:type="dcterms:W3CDTF">2024-01-12T07:39:00Z</dcterms:created>
  <dcterms:modified xsi:type="dcterms:W3CDTF">2024-12-17T23:42:44Z</dcterms:modified>
</cp:coreProperties>
</file>