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7B" w:rsidRPr="007E397B" w:rsidRDefault="007E397B" w:rsidP="0078636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уровня мотивации обучающихся 7-11 классов общеобразовательных учреждений Первомайского района</w:t>
      </w:r>
    </w:p>
    <w:p w:rsidR="004553AF" w:rsidRPr="004553AF" w:rsidRDefault="004553AF" w:rsidP="007E3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4553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 приказом отдела образования, молодежи и спорта Администрации Первомайского района от 12.11.2020г. № 258 «Об утверждении Плана мероприятий («Дорожной карты») по реализации региональных механизмов управления качеством образования в Республике Крым, с целью проведения психолого-педагогической диагностики уровня учебной мотивации учащихся 7-11 классов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Мероприятие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53AF">
        <w:rPr>
          <w:rFonts w:ascii="Times New Roman" w:hAnsi="Times New Roman" w:cs="Times New Roman"/>
          <w:sz w:val="28"/>
          <w:szCs w:val="28"/>
        </w:rPr>
        <w:t xml:space="preserve">роходило с 25.01.2021г. по 05.02.2021г. (включительно) </w:t>
      </w:r>
      <w:r w:rsidR="00313770">
        <w:rPr>
          <w:rFonts w:ascii="Times New Roman" w:hAnsi="Times New Roman" w:cs="Times New Roman"/>
          <w:sz w:val="28"/>
          <w:szCs w:val="28"/>
        </w:rPr>
        <w:t>осуществлялся анкетирование</w:t>
      </w:r>
      <w:r w:rsidRPr="004553AF">
        <w:rPr>
          <w:rFonts w:ascii="Times New Roman" w:hAnsi="Times New Roman" w:cs="Times New Roman"/>
          <w:sz w:val="28"/>
          <w:szCs w:val="28"/>
        </w:rPr>
        <w:t xml:space="preserve"> по ссылке, направленной </w:t>
      </w:r>
      <w:r w:rsidR="00313770">
        <w:rPr>
          <w:rFonts w:ascii="Times New Roman" w:hAnsi="Times New Roman" w:cs="Times New Roman"/>
          <w:sz w:val="28"/>
          <w:szCs w:val="28"/>
        </w:rPr>
        <w:t>на</w:t>
      </w:r>
      <w:r w:rsidRPr="004553AF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313770">
        <w:rPr>
          <w:rFonts w:ascii="Times New Roman" w:hAnsi="Times New Roman" w:cs="Times New Roman"/>
          <w:sz w:val="28"/>
          <w:szCs w:val="28"/>
        </w:rPr>
        <w:t xml:space="preserve">ые </w:t>
      </w:r>
      <w:r w:rsidRPr="004553AF">
        <w:rPr>
          <w:rFonts w:ascii="Times New Roman" w:hAnsi="Times New Roman" w:cs="Times New Roman"/>
          <w:sz w:val="28"/>
          <w:szCs w:val="28"/>
        </w:rPr>
        <w:t>почт</w:t>
      </w:r>
      <w:r w:rsidR="00313770">
        <w:rPr>
          <w:rFonts w:ascii="Times New Roman" w:hAnsi="Times New Roman" w:cs="Times New Roman"/>
          <w:sz w:val="28"/>
          <w:szCs w:val="28"/>
        </w:rPr>
        <w:t>ы</w:t>
      </w:r>
      <w:r w:rsidRPr="004553AF">
        <w:rPr>
          <w:rFonts w:ascii="Times New Roman" w:hAnsi="Times New Roman" w:cs="Times New Roman"/>
          <w:sz w:val="28"/>
          <w:szCs w:val="28"/>
        </w:rPr>
        <w:t xml:space="preserve">. </w:t>
      </w:r>
      <w:r w:rsidR="00313770">
        <w:rPr>
          <w:rFonts w:ascii="Times New Roman" w:hAnsi="Times New Roman" w:cs="Times New Roman"/>
          <w:sz w:val="28"/>
          <w:szCs w:val="28"/>
        </w:rPr>
        <w:t>Опросник</w:t>
      </w:r>
      <w:r w:rsidRPr="004553AF">
        <w:rPr>
          <w:rFonts w:ascii="Times New Roman" w:hAnsi="Times New Roman" w:cs="Times New Roman"/>
          <w:sz w:val="28"/>
          <w:szCs w:val="28"/>
        </w:rPr>
        <w:t xml:space="preserve"> состоит из 22 вопросов.</w:t>
      </w:r>
    </w:p>
    <w:p w:rsidR="007E397B" w:rsidRPr="007E397B" w:rsidRDefault="007E397B" w:rsidP="007E3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оспитание личности заключается, прежде всего, в развитии системы его потребностей и мотивов. Характер мотивации учения и особенности личности являются, по сути, показателями качества образования.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 мотивации для успешной учебы сильнее, чем фактор интеллекта. Осознание высокой значимости мотива учения для успешной учебы привело к выделению принципа мотивационного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беспечения учебного процесса</w:t>
      </w: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разнообразных мотивов учения принято, в частности, выделять внешние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внутренние мотивы</w:t>
      </w: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Мотив является внутренним, если он совпадает с целью деятельности. То есть в условиях учебной деятельности овладение содержанием учебного предмета выступает одновременно и мотивом, и целью.</w:t>
      </w:r>
    </w:p>
    <w:p w:rsidR="007E397B" w:rsidRPr="007E397B" w:rsidRDefault="007E397B" w:rsidP="007E3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Внутренние мотивы связаны с познавательной потребностью субъекта, удовольствием, получаемым от процесса познания. Овладение учебным материалом служит целью учения, которое в этом случае начинает носить характер учебной деятельности. Учащийся непосредственно включен в процесс познания, и это доставляет ему эмоциональное удовлетворение. Доминирование внутренней мотивации характеризуется проявлением собственной активности учащегося в процессе учебной деятельности.</w:t>
      </w:r>
    </w:p>
    <w:p w:rsidR="007E397B" w:rsidRPr="007E397B" w:rsidRDefault="007E397B" w:rsidP="007E3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Внешне мотивированной учебная деятельность становится при условии, что овладение содержанием учебного предмета служит не целью, а средством достижения других целей. Это может быть получение хорошей оценки (аттестата, диплома), стипендии, похвалы, признания товарищей, подчинение требованию учителя и др. При внешней мотивации знание не выступает целью учения, учащийся отчужден от процесса познания. Изучаемые предметы для учащегося не являются внутренне принятыми, внутренне мотивированными, а содержание учебных предметов не становится личностной ценностью.</w:t>
      </w:r>
    </w:p>
    <w:p w:rsidR="00786363" w:rsidRDefault="007E397B" w:rsidP="007863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Учитель, преподаватель, заинтересованный в повышении эффективности своей деятельности, естественно, обращает внимание на мотивацию учения и стремится к ее активизации и поддержанию на высоком уровне, но при этом он лишен методического инструментария, позволяющего определить наличный уровень мотивации учащихся и ее динамику при </w:t>
      </w:r>
      <w:r w:rsidRPr="007E3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использовании различных форм, методов обучения, подбора содержания предмета.</w:t>
      </w:r>
    </w:p>
    <w:p w:rsidR="00786363" w:rsidRPr="004553AF" w:rsidRDefault="00786363" w:rsidP="00455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проведении диагностики уровня мотивации использовался </w:t>
      </w:r>
      <w:r w:rsidRPr="0078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Опросник «Учебная мотивация школьников» (для обучающихся от 11 лет и старше)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(модифицированная методика  Н.Ц.Бадмаевой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основе методики изучения мотива</w:t>
      </w:r>
      <w:r w:rsidRPr="0078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ционной сферы учащихся М.В.Матюхиной)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4553AF" w:rsidRDefault="00786363" w:rsidP="00455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8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 выявить наличие мотива и составить представление о реализации деятельности педагога ОУ по формированию мотивационной сферы учащегося.</w:t>
      </w:r>
    </w:p>
    <w:p w:rsidR="004553AF" w:rsidRDefault="004553AF" w:rsidP="00455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Общее количество поступивших ответов 628. </w:t>
      </w:r>
      <w:r w:rsidR="007863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диагностике приняли участие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16 общеобразовательных учреждений, 568 обучающихся, 60 ответов не могут </w:t>
      </w:r>
      <w:r w:rsidR="00313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быть обработаны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так как  ответы</w:t>
      </w:r>
      <w:r w:rsidR="00313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даны отвлеченно,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13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носят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фиктив</w:t>
      </w:r>
      <w:r w:rsidR="00313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ный характер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по типу «Лата», «Калининградская область», «школа № 32». Не приняли участие МБОУ Гвардейская школа, МБОУ Кормовская школа (см. </w:t>
      </w:r>
      <w:r w:rsidR="00E11B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таблицу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1.).</w:t>
      </w:r>
      <w:r w:rsidR="004E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63D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Анализ строится на описании и комментировании данных значений показателей. Ответы на вопросы с процентным соотношением, в зависимости от выбора ответа, приведены ниже.</w:t>
      </w:r>
    </w:p>
    <w:p w:rsidR="00786363" w:rsidRPr="00786363" w:rsidRDefault="004553AF" w:rsidP="00455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11BBA" w:rsidRPr="00E11BBA" w:rsidRDefault="00E11BBA" w:rsidP="00E11BBA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11B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Таблица № 1</w:t>
      </w:r>
    </w:p>
    <w:tbl>
      <w:tblPr>
        <w:tblStyle w:val="a5"/>
        <w:tblW w:w="0" w:type="auto"/>
        <w:jc w:val="center"/>
        <w:tblLook w:val="04A0"/>
      </w:tblPr>
      <w:tblGrid>
        <w:gridCol w:w="4785"/>
        <w:gridCol w:w="4112"/>
      </w:tblGrid>
      <w:tr w:rsidR="00E11BBA" w:rsidTr="00E11BBA">
        <w:trPr>
          <w:jc w:val="center"/>
        </w:trPr>
        <w:tc>
          <w:tcPr>
            <w:tcW w:w="4785" w:type="dxa"/>
          </w:tcPr>
          <w:p w:rsidR="00E11BBA" w:rsidRP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B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112" w:type="dxa"/>
          </w:tcPr>
          <w:p w:rsidR="00E11BBA" w:rsidRP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B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обучающихся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принявших участие в опросе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Абрикосовская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Алексеевская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Войковская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Гвардейская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Гришинская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Калининская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Кормовская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Крестьяновская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Октябрьская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Островская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Правдовская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Сарыбашская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Стахановская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Степновская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Сусанинская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Черновская ОШ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Первомайская ОШ№1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</w:t>
            </w:r>
          </w:p>
        </w:tc>
      </w:tr>
      <w:tr w:rsidR="00E11BBA" w:rsidTr="00E11BBA">
        <w:trPr>
          <w:jc w:val="center"/>
        </w:trPr>
        <w:tc>
          <w:tcPr>
            <w:tcW w:w="4785" w:type="dxa"/>
          </w:tcPr>
          <w:p w:rsidR="00E11BBA" w:rsidRPr="00F62DFA" w:rsidRDefault="00E11BBA" w:rsidP="00E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DFA">
              <w:rPr>
                <w:rFonts w:ascii="Times New Roman" w:hAnsi="Times New Roman" w:cs="Times New Roman"/>
                <w:sz w:val="24"/>
                <w:szCs w:val="24"/>
              </w:rPr>
              <w:t>Первомайская ОШ№2</w:t>
            </w:r>
          </w:p>
        </w:tc>
        <w:tc>
          <w:tcPr>
            <w:tcW w:w="4112" w:type="dxa"/>
          </w:tcPr>
          <w:p w:rsidR="00E11BBA" w:rsidRDefault="00E11BBA" w:rsidP="00E11BB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</w:t>
            </w:r>
          </w:p>
        </w:tc>
      </w:tr>
    </w:tbl>
    <w:p w:rsidR="00A46907" w:rsidRDefault="00A46907" w:rsidP="007863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BBA" w:rsidRDefault="00E11BBA" w:rsidP="007863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BBA" w:rsidRDefault="00A41E13" w:rsidP="007863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2676356"/>
            <wp:effectExtent l="19050" t="0" r="3175" b="0"/>
            <wp:docPr id="6" name="Рисунок 6" descr="C:\Windows\system32\config\systemprofile\Desktop\Вопро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system32\config\systemprofile\Desktop\Вопрос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D61" w:rsidRPr="00816D61" w:rsidRDefault="00A41E13" w:rsidP="007863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Верно, ответили 474 ученика</w:t>
      </w:r>
      <w:r w:rsidR="00816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говорит о </w:t>
      </w:r>
      <w:r w:rsidR="00816D61" w:rsidRPr="00816D61">
        <w:rPr>
          <w:rFonts w:ascii="Times New Roman" w:hAnsi="Times New Roman" w:cs="Times New Roman"/>
          <w:color w:val="000000"/>
          <w:sz w:val="28"/>
          <w:szCs w:val="28"/>
        </w:rPr>
        <w:t>наличи</w:t>
      </w:r>
      <w:r w:rsidR="00816D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16D61" w:rsidRPr="00816D61">
        <w:rPr>
          <w:rFonts w:ascii="Times New Roman" w:hAnsi="Times New Roman" w:cs="Times New Roman"/>
          <w:color w:val="000000"/>
          <w:sz w:val="28"/>
          <w:szCs w:val="28"/>
        </w:rPr>
        <w:t xml:space="preserve"> высоких познавательных мотивов, стремлением наиболее успешно выполнять все предъявляемые школой требования.</w:t>
      </w:r>
    </w:p>
    <w:p w:rsidR="00A41E13" w:rsidRDefault="00A41E13" w:rsidP="007863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2657088"/>
            <wp:effectExtent l="19050" t="0" r="3175" b="0"/>
            <wp:docPr id="7" name="Рисунок 7" descr="C:\Windows\system32\config\systemprofile\Desktop\Вопро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system32\config\systemprofile\Desktop\Вопрос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7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D61" w:rsidRPr="00816D61" w:rsidRDefault="00816D61" w:rsidP="00816D6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br/>
      </w:r>
      <w:r w:rsidRPr="00816D61">
        <w:rPr>
          <w:color w:val="000000"/>
          <w:sz w:val="28"/>
          <w:szCs w:val="28"/>
        </w:rPr>
        <w:t xml:space="preserve">Ответы распределились следующим образом, что большая часть </w:t>
      </w:r>
      <w:r w:rsidR="00313770">
        <w:rPr>
          <w:color w:val="000000"/>
          <w:sz w:val="28"/>
          <w:szCs w:val="28"/>
        </w:rPr>
        <w:t>обучающихся</w:t>
      </w:r>
      <w:r w:rsidRPr="00816D61">
        <w:rPr>
          <w:color w:val="000000"/>
          <w:sz w:val="28"/>
          <w:szCs w:val="28"/>
        </w:rPr>
        <w:t xml:space="preserve"> следуют у</w:t>
      </w:r>
      <w:r w:rsidR="00963D01">
        <w:rPr>
          <w:color w:val="000000"/>
          <w:sz w:val="28"/>
          <w:szCs w:val="28"/>
        </w:rPr>
        <w:t xml:space="preserve">казаниям учителя, добросовестны, </w:t>
      </w:r>
      <w:r w:rsidR="002762EB">
        <w:rPr>
          <w:color w:val="000000"/>
          <w:sz w:val="28"/>
          <w:szCs w:val="28"/>
        </w:rPr>
        <w:t xml:space="preserve">переживают за </w:t>
      </w:r>
      <w:r w:rsidRPr="00816D61">
        <w:rPr>
          <w:color w:val="000000"/>
          <w:sz w:val="28"/>
          <w:szCs w:val="28"/>
        </w:rPr>
        <w:t>неудовлетворительные оценки или замечания педагога.</w:t>
      </w:r>
    </w:p>
    <w:p w:rsidR="00816D61" w:rsidRDefault="00816D61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D61" w:rsidRDefault="00816D61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D61" w:rsidRDefault="00816D61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D61" w:rsidRDefault="00816D61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D61" w:rsidRDefault="00816D61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2705178"/>
            <wp:effectExtent l="19050" t="0" r="3175" b="0"/>
            <wp:docPr id="1" name="Рисунок 1" descr="C:\Windows\system32\config\systemprofile\Desktop\Скрины вопросов (1)\Вопрос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Скрины вопросов (1)\Вопрос 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D61" w:rsidRDefault="00816D61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Наибольший процент составляет ответы детей, характеризующие желание дальнейшего обучения, а соответственно и трудоустройства. Данная категория свидетельствует </w:t>
      </w:r>
      <w:r w:rsidR="009A37E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успешном ведении работы по профориентации и сформированных мотивах будущих выпускников.</w:t>
      </w:r>
    </w:p>
    <w:p w:rsidR="00816D61" w:rsidRDefault="00816D61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2517568"/>
            <wp:effectExtent l="19050" t="0" r="3175" b="0"/>
            <wp:docPr id="2" name="Рисунок 2" descr="C:\Windows\system32\config\systemprofile\Desktop\Скрины вопросов (1)\Вопрос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Скрины вопросов (1)\Вопрос 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D61" w:rsidRDefault="009A37EC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Процентное соотношение ответов по вопросам № 4 и 5 свидетельствует о </w:t>
      </w:r>
      <w:r w:rsidR="00294A95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="006C2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стремления к </w:t>
      </w:r>
      <w:r w:rsidRPr="009A37EC">
        <w:rPr>
          <w:rFonts w:ascii="Times New Roman" w:hAnsi="Times New Roman"/>
          <w:sz w:val="28"/>
          <w:szCs w:val="28"/>
        </w:rPr>
        <w:t>самоопределени</w:t>
      </w:r>
      <w:r w:rsidR="006C2D39">
        <w:rPr>
          <w:rFonts w:ascii="Times New Roman" w:hAnsi="Times New Roman"/>
          <w:sz w:val="28"/>
          <w:szCs w:val="28"/>
        </w:rPr>
        <w:t>ю</w:t>
      </w:r>
      <w:r w:rsidRPr="009A37EC">
        <w:rPr>
          <w:rFonts w:ascii="Times New Roman" w:hAnsi="Times New Roman"/>
          <w:sz w:val="28"/>
          <w:szCs w:val="28"/>
        </w:rPr>
        <w:t xml:space="preserve"> и самосовершенствовани</w:t>
      </w:r>
      <w:r w:rsidR="006C2D39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</w:p>
    <w:p w:rsidR="009A37EC" w:rsidRDefault="009A37EC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2564994"/>
            <wp:effectExtent l="19050" t="0" r="3175" b="0"/>
            <wp:docPr id="3" name="Рисунок 3" descr="C:\Windows\system32\config\systemprofile\Desktop\Скрины вопросов (1)\Вопрос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Desktop\Скрины вопросов (1)\Вопрос 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7EC" w:rsidRDefault="009A37EC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2540044"/>
            <wp:effectExtent l="19050" t="0" r="3175" b="0"/>
            <wp:docPr id="4" name="Рисунок 4" descr="C:\Windows\system32\config\systemprofile\Desktop\Скрины вопросов (1)\Вопрос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system32\config\systemprofile\Desktop\Скрины вопросов (1)\Вопрос 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6D7" w:rsidRDefault="001776D7" w:rsidP="00816D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500 учеников ответили «верно», 103 ученика ответили «верно в некоторой степени», 15- «совсем не верно». В данном случае, у</w:t>
      </w:r>
      <w:r w:rsidRPr="001776D7">
        <w:rPr>
          <w:rFonts w:ascii="Times New Roman" w:hAnsi="Times New Roman" w:cs="Times New Roman"/>
          <w:bCs/>
          <w:color w:val="000000"/>
          <w:sz w:val="28"/>
          <w:szCs w:val="28"/>
        </w:rPr>
        <w:t>читель (как внешний фактор)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является  для </w:t>
      </w:r>
      <w:r w:rsidRPr="001776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учащегося стимул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1776D7">
        <w:rPr>
          <w:rFonts w:ascii="Times New Roman" w:hAnsi="Times New Roman" w:cs="Times New Roman"/>
          <w:bCs/>
          <w:color w:val="000000"/>
          <w:sz w:val="28"/>
          <w:szCs w:val="28"/>
        </w:rPr>
        <w:t>, но не мотив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ом. П</w:t>
      </w:r>
      <w:r w:rsidRPr="001776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уть от стимуляции к мотивации, к побуждению внутренних мотивов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r w:rsidRPr="001776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прямой и короткий, ведь мотивация — это внутренний личностный процесс.</w:t>
      </w:r>
    </w:p>
    <w:p w:rsidR="00294A95" w:rsidRDefault="001776D7" w:rsidP="00177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37189"/>
            <wp:effectExtent l="19050" t="0" r="3175" b="0"/>
            <wp:docPr id="5" name="Рисунок 1" descr="C:\Windows\system32\config\systemprofile\Desktop\Скрины вопросов (1)\Вопрос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Скрины вопросов (1)\Вопрос 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6D7" w:rsidRDefault="001776D7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моментов в учебной жизни подростков является  одобрение или принятие сверстниками. Следует заметить, что данный </w:t>
      </w:r>
      <w:r w:rsidR="004C1980">
        <w:rPr>
          <w:rFonts w:ascii="Times New Roman" w:hAnsi="Times New Roman" w:cs="Times New Roman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4C1980">
        <w:rPr>
          <w:rFonts w:ascii="Times New Roman" w:hAnsi="Times New Roman" w:cs="Times New Roman"/>
          <w:sz w:val="28"/>
          <w:szCs w:val="28"/>
        </w:rPr>
        <w:t xml:space="preserve">ответов </w:t>
      </w:r>
      <w:r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4C1980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2C0603">
        <w:rPr>
          <w:rFonts w:ascii="Times New Roman" w:hAnsi="Times New Roman" w:cs="Times New Roman"/>
          <w:sz w:val="28"/>
          <w:szCs w:val="28"/>
        </w:rPr>
        <w:t xml:space="preserve">по </w:t>
      </w:r>
      <w:r w:rsidR="004C1980">
        <w:rPr>
          <w:rFonts w:ascii="Times New Roman" w:hAnsi="Times New Roman" w:cs="Times New Roman"/>
          <w:sz w:val="28"/>
          <w:szCs w:val="28"/>
        </w:rPr>
        <w:t>вопросу 6.  Что свидетельствует о том, что одобрение учителей и родителей больше или в одинаков</w:t>
      </w:r>
      <w:r w:rsidR="003E5640">
        <w:rPr>
          <w:rFonts w:ascii="Times New Roman" w:hAnsi="Times New Roman" w:cs="Times New Roman"/>
          <w:sz w:val="28"/>
          <w:szCs w:val="28"/>
        </w:rPr>
        <w:t>о</w:t>
      </w:r>
      <w:r w:rsidR="004C1980">
        <w:rPr>
          <w:rFonts w:ascii="Times New Roman" w:hAnsi="Times New Roman" w:cs="Times New Roman"/>
          <w:sz w:val="28"/>
          <w:szCs w:val="28"/>
        </w:rPr>
        <w:t>й мере важно для</w:t>
      </w:r>
      <w:r w:rsidR="003E5640">
        <w:rPr>
          <w:rFonts w:ascii="Times New Roman" w:hAnsi="Times New Roman" w:cs="Times New Roman"/>
          <w:sz w:val="28"/>
          <w:szCs w:val="28"/>
        </w:rPr>
        <w:t xml:space="preserve"> становления личности и </w:t>
      </w:r>
      <w:r w:rsidR="004C1980">
        <w:rPr>
          <w:rFonts w:ascii="Times New Roman" w:hAnsi="Times New Roman" w:cs="Times New Roman"/>
          <w:sz w:val="28"/>
          <w:szCs w:val="28"/>
        </w:rPr>
        <w:t xml:space="preserve"> мотивации учеников.</w:t>
      </w:r>
    </w:p>
    <w:p w:rsidR="004C1980" w:rsidRDefault="004C1980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94460"/>
            <wp:effectExtent l="19050" t="0" r="3175" b="0"/>
            <wp:docPr id="8" name="Рисунок 2" descr="C:\Windows\system32\config\systemprofile\Desktop\Скрины вопросов (1)\Вопрос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Скрины вопросов (1)\Вопрос 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980" w:rsidRDefault="002C0603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распределения ответов состоит так, что наибольшее количество ответов дано «верно в некоторой степени». </w:t>
      </w:r>
      <w:r w:rsidRPr="002C0603"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 быть лучшим</w:t>
      </w:r>
      <w:r w:rsidRPr="002C0603">
        <w:rPr>
          <w:rFonts w:ascii="Times New Roman" w:hAnsi="Times New Roman" w:cs="Times New Roman"/>
          <w:sz w:val="28"/>
          <w:szCs w:val="28"/>
        </w:rPr>
        <w:t xml:space="preserve"> в таком случае не становится внутренней потребностью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0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2C0603">
        <w:rPr>
          <w:rFonts w:ascii="Times New Roman" w:hAnsi="Times New Roman" w:cs="Times New Roman"/>
          <w:sz w:val="28"/>
          <w:szCs w:val="28"/>
        </w:rPr>
        <w:t xml:space="preserve"> после достижения цели будет ну</w:t>
      </w:r>
      <w:r>
        <w:rPr>
          <w:rFonts w:ascii="Times New Roman" w:hAnsi="Times New Roman" w:cs="Times New Roman"/>
          <w:sz w:val="28"/>
          <w:szCs w:val="28"/>
        </w:rPr>
        <w:t xml:space="preserve">ждаться в новой мотивации извне, </w:t>
      </w:r>
      <w:r w:rsidR="00A028D6">
        <w:rPr>
          <w:rFonts w:ascii="Times New Roman" w:hAnsi="Times New Roman" w:cs="Times New Roman"/>
          <w:sz w:val="28"/>
          <w:szCs w:val="28"/>
        </w:rPr>
        <w:t>а именно</w:t>
      </w:r>
      <w:r>
        <w:rPr>
          <w:rFonts w:ascii="Times New Roman" w:hAnsi="Times New Roman" w:cs="Times New Roman"/>
          <w:sz w:val="28"/>
          <w:szCs w:val="28"/>
        </w:rPr>
        <w:t xml:space="preserve"> поступление в профессиональные учебные заведения. </w:t>
      </w:r>
    </w:p>
    <w:p w:rsidR="002C0603" w:rsidRDefault="002C0603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517411"/>
            <wp:effectExtent l="19050" t="0" r="3175" b="0"/>
            <wp:docPr id="9" name="Рисунок 1" descr="C:\Windows\system32\config\systemprofile\Desktop\9 вопр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9 вопросов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03" w:rsidRDefault="00E84173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84173">
        <w:rPr>
          <w:rFonts w:ascii="Times New Roman" w:hAnsi="Times New Roman" w:cs="Times New Roman"/>
          <w:sz w:val="28"/>
          <w:szCs w:val="28"/>
        </w:rPr>
        <w:t>ружба подростков – очень сложное и неоднозначное явление. В одно время могут проявляться взаимная поддержка, совместное времяпрепровождение и обоюдное доверие, а в другое – суверенность, соперничество и даже конфликт.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73">
        <w:rPr>
          <w:rFonts w:ascii="Times New Roman" w:hAnsi="Times New Roman" w:cs="Times New Roman"/>
          <w:sz w:val="28"/>
          <w:szCs w:val="28"/>
        </w:rPr>
        <w:t>Связано это во многом с тем, что подросток ищет свою индивидуальность, стремится удовлетворить свои эмоциональные и психологические потребности. В результате доверительные отношения возникают у него с несколькими детьми, что делает участников дружеского союза одновременно зависимыми и автономными друг от друга.</w:t>
      </w:r>
      <w:r>
        <w:rPr>
          <w:rFonts w:ascii="Times New Roman" w:hAnsi="Times New Roman" w:cs="Times New Roman"/>
          <w:sz w:val="28"/>
          <w:szCs w:val="28"/>
        </w:rPr>
        <w:t xml:space="preserve"> Отсюда и распределение ответов, которое можно наблюдать на вопрос 9.</w:t>
      </w:r>
    </w:p>
    <w:p w:rsidR="00E84173" w:rsidRDefault="00E84173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88986"/>
            <wp:effectExtent l="19050" t="0" r="3175" b="0"/>
            <wp:docPr id="10" name="Рисунок 2" descr="C:\Windows\system32\config\systemprofile\Desktop\10 вопр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10 вопросов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667" w:rsidRDefault="000F2667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как в вопросе 8, так 10-м ответы детей повторяют выбор ответов. С</w:t>
      </w:r>
      <w:r w:rsidRPr="000F2667">
        <w:rPr>
          <w:rFonts w:ascii="Times New Roman" w:hAnsi="Times New Roman" w:cs="Times New Roman"/>
          <w:sz w:val="28"/>
          <w:szCs w:val="28"/>
        </w:rPr>
        <w:t xml:space="preserve">тремление к идеалу – не просто особенность характера. Это </w:t>
      </w:r>
      <w:r w:rsidR="00231ED5">
        <w:rPr>
          <w:rFonts w:ascii="Times New Roman" w:hAnsi="Times New Roman" w:cs="Times New Roman"/>
          <w:sz w:val="28"/>
          <w:szCs w:val="28"/>
        </w:rPr>
        <w:t xml:space="preserve">сильное </w:t>
      </w:r>
      <w:r w:rsidRPr="000F2667">
        <w:rPr>
          <w:rFonts w:ascii="Times New Roman" w:hAnsi="Times New Roman" w:cs="Times New Roman"/>
          <w:sz w:val="28"/>
          <w:szCs w:val="28"/>
        </w:rPr>
        <w:t xml:space="preserve">убеждение, мешающее развиваться. </w:t>
      </w:r>
      <w:r>
        <w:rPr>
          <w:rFonts w:ascii="Times New Roman" w:hAnsi="Times New Roman" w:cs="Times New Roman"/>
          <w:sz w:val="28"/>
          <w:szCs w:val="28"/>
        </w:rPr>
        <w:t>В данном случае важно содержать в покое с</w:t>
      </w:r>
      <w:r w:rsidR="00231ED5">
        <w:rPr>
          <w:rFonts w:ascii="Times New Roman" w:hAnsi="Times New Roman" w:cs="Times New Roman"/>
          <w:sz w:val="28"/>
          <w:szCs w:val="28"/>
        </w:rPr>
        <w:t>вое психологическое состояние,</w:t>
      </w:r>
      <w:r>
        <w:rPr>
          <w:rFonts w:ascii="Times New Roman" w:hAnsi="Times New Roman" w:cs="Times New Roman"/>
          <w:sz w:val="28"/>
          <w:szCs w:val="28"/>
        </w:rPr>
        <w:t xml:space="preserve"> снизить волнение и напряжение</w:t>
      </w:r>
      <w:r w:rsidR="00231ED5">
        <w:rPr>
          <w:rFonts w:ascii="Times New Roman" w:hAnsi="Times New Roman" w:cs="Times New Roman"/>
          <w:sz w:val="28"/>
          <w:szCs w:val="28"/>
        </w:rPr>
        <w:t>.</w:t>
      </w:r>
    </w:p>
    <w:p w:rsidR="00231ED5" w:rsidRDefault="00231ED5" w:rsidP="004C19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ED5" w:rsidRDefault="00231ED5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95511"/>
            <wp:effectExtent l="19050" t="0" r="3175" b="0"/>
            <wp:docPr id="11" name="Рисунок 3" descr="C:\Windows\system32\config\systemprofile\Desktop\11 вопр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Desktop\11 вопросов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ED5" w:rsidRDefault="00231ED5" w:rsidP="004C198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1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Серьёзно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</w:t>
      </w:r>
      <w:r w:rsidRPr="00231E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задуматься над тем, как мы, взрослые, ведём себя по отношению к детям, какую систему воспитания мы для них создаём</w:t>
      </w:r>
      <w:r w:rsidR="00C20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</w:t>
      </w:r>
      <w:r w:rsidR="00C200A4" w:rsidRPr="00C20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 </w:t>
      </w:r>
      <w:r w:rsidR="00C20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важным </w:t>
      </w:r>
      <w:r w:rsidR="00C200A4" w:rsidRPr="00C20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событием может быть вовсе не отметка, а похвала или, наоборот, обидное замечание, происшествие на перемене, игнорирование</w:t>
      </w:r>
      <w:r w:rsidR="00C20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200A4" w:rsidRDefault="00C200A4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28349"/>
            <wp:effectExtent l="19050" t="0" r="3175" b="0"/>
            <wp:docPr id="12" name="Рисунок 4" descr="C:\Windows\system32\config\systemprofile\Desktop\12 вопр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system32\config\systemprofile\Desktop\12 вопросов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44B" w:rsidRDefault="0044444B" w:rsidP="004C198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сложившейся ситуации р</w:t>
      </w:r>
      <w:r w:rsidRPr="0044444B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44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важно объяснить,</w:t>
      </w:r>
      <w:r w:rsidRPr="0044444B">
        <w:rPr>
          <w:rFonts w:ascii="Times New Roman" w:hAnsi="Times New Roman" w:cs="Times New Roman"/>
          <w:sz w:val="28"/>
          <w:szCs w:val="28"/>
        </w:rPr>
        <w:t xml:space="preserve"> что нет никакой связи между плохими оценками в школе и успешностью и счастьем в будущем.</w:t>
      </w:r>
      <w:r>
        <w:rPr>
          <w:rFonts w:ascii="Times New Roman" w:hAnsi="Times New Roman" w:cs="Times New Roman"/>
          <w:sz w:val="28"/>
          <w:szCs w:val="28"/>
        </w:rPr>
        <w:t xml:space="preserve"> Если анализировать ответы, то стоит заметить, что желание получать хорошие оценки зависит от стремления быть успешным в обучении. Однако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444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оязнь публичного осуждения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444B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44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44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444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увство вины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стоит тоже учитывать.</w:t>
      </w:r>
    </w:p>
    <w:p w:rsidR="0044444B" w:rsidRDefault="0044444B" w:rsidP="004C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732056"/>
            <wp:effectExtent l="19050" t="0" r="3175" b="0"/>
            <wp:docPr id="13" name="Рисунок 5" descr="C:\Windows\system32\config\systemprofile\Desktop\13 воп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system32\config\systemprofile\Desktop\13 вопрос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E52" w:rsidRDefault="0044444B" w:rsidP="007C6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ответов говорит о любознательности и активности подрастающего поколения. Но, стоит о</w:t>
      </w:r>
      <w:r w:rsidRPr="0044444B">
        <w:rPr>
          <w:rFonts w:ascii="Times New Roman" w:hAnsi="Times New Roman" w:cs="Times New Roman"/>
          <w:sz w:val="28"/>
          <w:szCs w:val="28"/>
        </w:rPr>
        <w:t>брати</w:t>
      </w:r>
      <w:r w:rsidR="007C6E52">
        <w:rPr>
          <w:rFonts w:ascii="Times New Roman" w:hAnsi="Times New Roman" w:cs="Times New Roman"/>
          <w:sz w:val="28"/>
          <w:szCs w:val="28"/>
        </w:rPr>
        <w:t xml:space="preserve">ть внимание </w:t>
      </w:r>
      <w:r w:rsidRPr="0044444B">
        <w:rPr>
          <w:rFonts w:ascii="Times New Roman" w:hAnsi="Times New Roman" w:cs="Times New Roman"/>
          <w:sz w:val="28"/>
          <w:szCs w:val="28"/>
        </w:rPr>
        <w:t>на</w:t>
      </w:r>
      <w:r w:rsidR="007C6E52">
        <w:rPr>
          <w:rFonts w:ascii="Times New Roman" w:hAnsi="Times New Roman" w:cs="Times New Roman"/>
          <w:sz w:val="28"/>
          <w:szCs w:val="28"/>
        </w:rPr>
        <w:t xml:space="preserve"> проявление</w:t>
      </w:r>
      <w:r w:rsidRPr="0044444B">
        <w:rPr>
          <w:rFonts w:ascii="Times New Roman" w:hAnsi="Times New Roman" w:cs="Times New Roman"/>
          <w:sz w:val="28"/>
          <w:szCs w:val="28"/>
        </w:rPr>
        <w:t xml:space="preserve"> поверхност</w:t>
      </w:r>
      <w:r w:rsidR="007C6E52">
        <w:rPr>
          <w:rFonts w:ascii="Times New Roman" w:hAnsi="Times New Roman" w:cs="Times New Roman"/>
          <w:sz w:val="28"/>
          <w:szCs w:val="28"/>
        </w:rPr>
        <w:t>и</w:t>
      </w:r>
      <w:r w:rsidRPr="0044444B">
        <w:rPr>
          <w:rFonts w:ascii="Times New Roman" w:hAnsi="Times New Roman" w:cs="Times New Roman"/>
          <w:sz w:val="28"/>
          <w:szCs w:val="28"/>
        </w:rPr>
        <w:t>, разбросанност</w:t>
      </w:r>
      <w:r w:rsidR="007C6E52">
        <w:rPr>
          <w:rFonts w:ascii="Times New Roman" w:hAnsi="Times New Roman" w:cs="Times New Roman"/>
          <w:sz w:val="28"/>
          <w:szCs w:val="28"/>
        </w:rPr>
        <w:t>и</w:t>
      </w:r>
      <w:r w:rsidRPr="0044444B">
        <w:rPr>
          <w:rFonts w:ascii="Times New Roman" w:hAnsi="Times New Roman" w:cs="Times New Roman"/>
          <w:sz w:val="28"/>
          <w:szCs w:val="28"/>
        </w:rPr>
        <w:t xml:space="preserve"> эт</w:t>
      </w:r>
      <w:r w:rsidR="007C6E52">
        <w:rPr>
          <w:rFonts w:ascii="Times New Roman" w:hAnsi="Times New Roman" w:cs="Times New Roman"/>
          <w:sz w:val="28"/>
          <w:szCs w:val="28"/>
        </w:rPr>
        <w:t xml:space="preserve">их проявлений любознательности или  </w:t>
      </w:r>
      <w:r w:rsidRPr="0044444B">
        <w:rPr>
          <w:rFonts w:ascii="Times New Roman" w:hAnsi="Times New Roman" w:cs="Times New Roman"/>
          <w:sz w:val="28"/>
          <w:szCs w:val="28"/>
        </w:rPr>
        <w:t>на</w:t>
      </w:r>
      <w:r w:rsidR="007C6E52">
        <w:rPr>
          <w:rFonts w:ascii="Times New Roman" w:hAnsi="Times New Roman" w:cs="Times New Roman"/>
          <w:sz w:val="28"/>
          <w:szCs w:val="28"/>
        </w:rPr>
        <w:t xml:space="preserve"> наоборот </w:t>
      </w:r>
      <w:r w:rsidRPr="0044444B">
        <w:rPr>
          <w:rFonts w:ascii="Times New Roman" w:hAnsi="Times New Roman" w:cs="Times New Roman"/>
          <w:sz w:val="28"/>
          <w:szCs w:val="28"/>
        </w:rPr>
        <w:t>практически полное отсутствие их связи со школьной программой.</w:t>
      </w:r>
      <w:r w:rsidR="007C6E52" w:rsidRPr="007C6E52">
        <w:t xml:space="preserve"> </w:t>
      </w:r>
      <w:r w:rsidR="007C6E52">
        <w:rPr>
          <w:rFonts w:ascii="Times New Roman" w:hAnsi="Times New Roman" w:cs="Times New Roman"/>
          <w:sz w:val="28"/>
          <w:szCs w:val="28"/>
        </w:rPr>
        <w:t>Л</w:t>
      </w:r>
      <w:r w:rsidR="007C6E52" w:rsidRPr="007C6E52">
        <w:rPr>
          <w:rFonts w:ascii="Times New Roman" w:hAnsi="Times New Roman" w:cs="Times New Roman"/>
          <w:sz w:val="28"/>
          <w:szCs w:val="28"/>
        </w:rPr>
        <w:t>юбознательность отражает увеличивающийся интерес</w:t>
      </w:r>
      <w:r w:rsidR="007C6E52">
        <w:rPr>
          <w:rFonts w:ascii="Times New Roman" w:hAnsi="Times New Roman" w:cs="Times New Roman"/>
          <w:sz w:val="28"/>
          <w:szCs w:val="28"/>
        </w:rPr>
        <w:t xml:space="preserve"> </w:t>
      </w:r>
      <w:r w:rsidR="007C6E52" w:rsidRPr="007C6E52">
        <w:rPr>
          <w:rFonts w:ascii="Times New Roman" w:hAnsi="Times New Roman" w:cs="Times New Roman"/>
          <w:sz w:val="28"/>
          <w:szCs w:val="28"/>
        </w:rPr>
        <w:t>школьника к окружающему миру.</w:t>
      </w:r>
      <w:r w:rsidR="007C6E52">
        <w:rPr>
          <w:rFonts w:ascii="Times New Roman" w:hAnsi="Times New Roman" w:cs="Times New Roman"/>
          <w:sz w:val="28"/>
          <w:szCs w:val="28"/>
        </w:rPr>
        <w:t xml:space="preserve">  Ш</w:t>
      </w:r>
      <w:r w:rsidR="007C6E52" w:rsidRPr="007C6E52">
        <w:rPr>
          <w:rFonts w:ascii="Times New Roman" w:hAnsi="Times New Roman" w:cs="Times New Roman"/>
          <w:sz w:val="28"/>
          <w:szCs w:val="28"/>
        </w:rPr>
        <w:t>кольные интересы уступают свое место внеучебным: лишь у</w:t>
      </w:r>
      <w:r w:rsidR="007C6E52">
        <w:rPr>
          <w:rFonts w:ascii="Times New Roman" w:hAnsi="Times New Roman" w:cs="Times New Roman"/>
          <w:sz w:val="28"/>
          <w:szCs w:val="28"/>
        </w:rPr>
        <w:t xml:space="preserve"> </w:t>
      </w:r>
      <w:r w:rsidR="007C6E52" w:rsidRPr="007C6E52">
        <w:rPr>
          <w:rFonts w:ascii="Times New Roman" w:hAnsi="Times New Roman" w:cs="Times New Roman"/>
          <w:sz w:val="28"/>
          <w:szCs w:val="28"/>
        </w:rPr>
        <w:t>части учеников интересы связаны с учебными предметами, у большинства же они</w:t>
      </w:r>
      <w:r w:rsidR="007C6E52">
        <w:rPr>
          <w:rFonts w:ascii="Times New Roman" w:hAnsi="Times New Roman" w:cs="Times New Roman"/>
          <w:sz w:val="28"/>
          <w:szCs w:val="28"/>
        </w:rPr>
        <w:t xml:space="preserve"> </w:t>
      </w:r>
      <w:r w:rsidR="007C6E52" w:rsidRPr="007C6E52">
        <w:rPr>
          <w:rFonts w:ascii="Times New Roman" w:hAnsi="Times New Roman" w:cs="Times New Roman"/>
          <w:sz w:val="28"/>
          <w:szCs w:val="28"/>
        </w:rPr>
        <w:t>гораздо шире и далеко выходят за рамки школьной программы</w:t>
      </w:r>
      <w:r w:rsidR="007C6E52">
        <w:rPr>
          <w:rFonts w:ascii="Times New Roman" w:hAnsi="Times New Roman" w:cs="Times New Roman"/>
          <w:sz w:val="28"/>
          <w:szCs w:val="28"/>
        </w:rPr>
        <w:t>.</w:t>
      </w:r>
    </w:p>
    <w:p w:rsidR="0044444B" w:rsidRDefault="007C6E52" w:rsidP="007C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66298"/>
            <wp:effectExtent l="19050" t="0" r="3175" b="0"/>
            <wp:docPr id="14" name="Рисунок 6" descr="C:\Windows\system32\config\systemprofile\Desktop\14 воп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system32\config\systemprofile\Desktop\14 вопрос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E52" w:rsidRDefault="007C6E52" w:rsidP="007C6E52">
      <w:pPr>
        <w:jc w:val="both"/>
        <w:rPr>
          <w:rFonts w:ascii="Times New Roman" w:hAnsi="Times New Roman" w:cs="Times New Roman"/>
          <w:sz w:val="28"/>
          <w:szCs w:val="28"/>
        </w:rPr>
      </w:pPr>
      <w:r w:rsidRPr="007C6E52">
        <w:rPr>
          <w:rFonts w:ascii="Times New Roman" w:hAnsi="Times New Roman" w:cs="Times New Roman"/>
          <w:sz w:val="28"/>
          <w:szCs w:val="28"/>
        </w:rPr>
        <w:t>Развитие интересов в подростковом возраст</w:t>
      </w:r>
      <w:r>
        <w:rPr>
          <w:rFonts w:ascii="Times New Roman" w:hAnsi="Times New Roman" w:cs="Times New Roman"/>
          <w:sz w:val="28"/>
          <w:szCs w:val="28"/>
        </w:rPr>
        <w:t xml:space="preserve">е определяется общей атмосферой </w:t>
      </w:r>
      <w:r w:rsidRPr="007C6E52">
        <w:rPr>
          <w:rFonts w:ascii="Times New Roman" w:hAnsi="Times New Roman" w:cs="Times New Roman"/>
          <w:sz w:val="28"/>
          <w:szCs w:val="28"/>
        </w:rPr>
        <w:t>школы: увлеченностью педагогов собственным предметом и наличием у них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E52">
        <w:rPr>
          <w:rFonts w:ascii="Times New Roman" w:hAnsi="Times New Roman" w:cs="Times New Roman"/>
          <w:sz w:val="28"/>
          <w:szCs w:val="28"/>
        </w:rPr>
        <w:t>широких интересов, желанием передать это ученикам, поддержкой увлечений школьников.</w:t>
      </w:r>
    </w:p>
    <w:p w:rsidR="007C6E52" w:rsidRDefault="007C6E52" w:rsidP="007C6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35292"/>
            <wp:effectExtent l="19050" t="0" r="3175" b="0"/>
            <wp:docPr id="15" name="Рисунок 7" descr="C:\Windows\system32\config\systemprofile\Desktop\15 воп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system32\config\systemprofile\Desktop\15 вопрос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E52" w:rsidRDefault="007C6E52" w:rsidP="007C6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распределись, можно сказать, с долей оговорок и условий. Суть  вопроса заключается</w:t>
      </w:r>
      <w:r w:rsidR="00DA5E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умении поделится своими </w:t>
      </w:r>
      <w:r w:rsidR="00DA5E1A">
        <w:rPr>
          <w:rFonts w:ascii="Times New Roman" w:hAnsi="Times New Roman" w:cs="Times New Roman"/>
          <w:sz w:val="28"/>
          <w:szCs w:val="28"/>
        </w:rPr>
        <w:t>рассуждениями,</w:t>
      </w:r>
      <w:r>
        <w:rPr>
          <w:rFonts w:ascii="Times New Roman" w:hAnsi="Times New Roman" w:cs="Times New Roman"/>
          <w:sz w:val="28"/>
          <w:szCs w:val="28"/>
        </w:rPr>
        <w:t xml:space="preserve"> и встретить оценку собеседника, в данном случае учителя или сверстников. Педагог должен на уроках создать максимально благоприятную атмосферу для начала диалогов или бесед. П</w:t>
      </w:r>
      <w:r w:rsidRPr="007C6E52">
        <w:rPr>
          <w:rFonts w:ascii="Times New Roman" w:hAnsi="Times New Roman" w:cs="Times New Roman"/>
          <w:sz w:val="28"/>
          <w:szCs w:val="28"/>
        </w:rPr>
        <w:t>оддержка подростка, укре</w:t>
      </w:r>
      <w:r>
        <w:rPr>
          <w:rFonts w:ascii="Times New Roman" w:hAnsi="Times New Roman" w:cs="Times New Roman"/>
          <w:sz w:val="28"/>
          <w:szCs w:val="28"/>
        </w:rPr>
        <w:t xml:space="preserve">пление его самооценки, обучение </w:t>
      </w:r>
      <w:r w:rsidRPr="007C6E52">
        <w:rPr>
          <w:rFonts w:ascii="Times New Roman" w:hAnsi="Times New Roman" w:cs="Times New Roman"/>
          <w:sz w:val="28"/>
          <w:szCs w:val="28"/>
        </w:rPr>
        <w:t xml:space="preserve">анализу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C6E52">
        <w:rPr>
          <w:rFonts w:ascii="Times New Roman" w:hAnsi="Times New Roman" w:cs="Times New Roman"/>
          <w:sz w:val="28"/>
          <w:szCs w:val="28"/>
        </w:rPr>
        <w:t>неудач являются значимыми факторами развития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E1A" w:rsidRDefault="00DA5E1A" w:rsidP="007C6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9870"/>
            <wp:effectExtent l="19050" t="0" r="3175" b="0"/>
            <wp:docPr id="16" name="Рисунок 8" descr="C:\Windows\system32\config\systemprofile\Desktop\16 воп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Windows\system32\config\systemprofile\Desktop\16 вопрос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1A" w:rsidRDefault="00DA5E1A" w:rsidP="00DA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Спектр ответов респондентов, говорит о том, что есть наличие барьера в проявлении самостоятельности в выборе сложных для себя задний и испытания своих сил.</w:t>
      </w:r>
      <w:r w:rsidRPr="00DA5E1A">
        <w:t xml:space="preserve"> </w:t>
      </w:r>
      <w:r w:rsidRPr="00DA5E1A">
        <w:rPr>
          <w:rFonts w:ascii="Times New Roman" w:hAnsi="Times New Roman" w:cs="Times New Roman"/>
          <w:sz w:val="28"/>
          <w:szCs w:val="28"/>
        </w:rPr>
        <w:t>Вместе с тем необходимо иметь в виду, что часто отсутствие интересов отмечается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E1A">
        <w:rPr>
          <w:rFonts w:ascii="Times New Roman" w:hAnsi="Times New Roman" w:cs="Times New Roman"/>
          <w:sz w:val="28"/>
          <w:szCs w:val="28"/>
        </w:rPr>
        <w:t>у подростков с ярко выраженной тенденцией к «отказу от усили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A5E1A">
        <w:rPr>
          <w:rFonts w:ascii="Times New Roman" w:hAnsi="Times New Roman" w:cs="Times New Roman"/>
          <w:sz w:val="28"/>
          <w:szCs w:val="28"/>
        </w:rPr>
        <w:t>».</w:t>
      </w:r>
    </w:p>
    <w:p w:rsidR="00DA5E1A" w:rsidRDefault="00DA5E1A" w:rsidP="00DA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705015"/>
            <wp:effectExtent l="19050" t="0" r="3175" b="0"/>
            <wp:docPr id="17" name="Рисунок 9" descr="C:\Windows\system32\config\systemprofile\Desktop\17 воп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system32\config\systemprofile\Desktop\17 вопрос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1A" w:rsidRDefault="00DA5E1A" w:rsidP="00DA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Увлеченность</w:t>
      </w:r>
      <w:r w:rsidRPr="00DA5E1A">
        <w:rPr>
          <w:rFonts w:ascii="Times New Roman" w:hAnsi="Times New Roman" w:cs="Times New Roman"/>
          <w:sz w:val="28"/>
          <w:szCs w:val="28"/>
        </w:rPr>
        <w:t xml:space="preserve"> педагогов собственным предметом и наличие у них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E1A">
        <w:rPr>
          <w:rFonts w:ascii="Times New Roman" w:hAnsi="Times New Roman" w:cs="Times New Roman"/>
          <w:sz w:val="28"/>
          <w:szCs w:val="28"/>
        </w:rPr>
        <w:t>широких интересов, желание передать это ученикам,</w:t>
      </w:r>
      <w:r>
        <w:rPr>
          <w:rFonts w:ascii="Times New Roman" w:hAnsi="Times New Roman" w:cs="Times New Roman"/>
          <w:sz w:val="28"/>
          <w:szCs w:val="28"/>
        </w:rPr>
        <w:t xml:space="preserve"> является важным моментом при налаживании взаимоотношений в учебном процессе.</w:t>
      </w:r>
    </w:p>
    <w:p w:rsidR="00DA5E1A" w:rsidRDefault="00DA5E1A" w:rsidP="00DA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48035"/>
            <wp:effectExtent l="19050" t="0" r="3175" b="0"/>
            <wp:docPr id="18" name="Рисунок 10" descr="C:\Windows\system32\config\systemprofile\Desktop\18 вопр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Windows\system32\config\systemprofile\Desktop\18 вопросов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0A" w:rsidRDefault="006E2C0A" w:rsidP="00DA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выполнение заданий, будет менее приоритетным для подростков, так как в группе они могут почувствовать поддержку или занять не активную позицию. В любом случае, необходимо чередовать работу в группе и самостоятельную, тем самым активизируя работу каждого, развивая самостоятельность, и снижая страх публичных выступлений.</w:t>
      </w:r>
    </w:p>
    <w:p w:rsidR="00DA5E1A" w:rsidRDefault="006E2C0A" w:rsidP="006E2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752011"/>
            <wp:effectExtent l="19050" t="0" r="3175" b="0"/>
            <wp:docPr id="19" name="Рисунок 11" descr="C:\Windows\system32\config\systemprofile\Desktop\19 воп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Windows\system32\config\systemprofile\Desktop\19 вопрос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0A" w:rsidRDefault="006E2C0A" w:rsidP="006E2C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вопросе ответы распределись, в зависимости от степени вовлеченности в предмет или  типа характера. </w:t>
      </w:r>
    </w:p>
    <w:p w:rsidR="006E2C0A" w:rsidRDefault="006E2C0A" w:rsidP="006E2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04953"/>
            <wp:effectExtent l="19050" t="0" r="3175" b="0"/>
            <wp:docPr id="20" name="Рисунок 12" descr="C:\Windows\system32\config\systemprofile\Desktop\20 впо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Windows\system32\config\systemprofile\Desktop\20 впорос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07" w:rsidRDefault="00194907" w:rsidP="00194907">
      <w:pPr>
        <w:jc w:val="both"/>
        <w:rPr>
          <w:rFonts w:ascii="Times New Roman" w:hAnsi="Times New Roman" w:cs="Times New Roman"/>
          <w:sz w:val="28"/>
          <w:szCs w:val="28"/>
        </w:rPr>
      </w:pPr>
      <w:r w:rsidRPr="00194907">
        <w:rPr>
          <w:rFonts w:ascii="Times New Roman" w:hAnsi="Times New Roman" w:cs="Times New Roman"/>
          <w:sz w:val="28"/>
          <w:szCs w:val="28"/>
        </w:rPr>
        <w:t xml:space="preserve">Специфика интересов подростков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том, что эти интересы во многом </w:t>
      </w:r>
      <w:r w:rsidRPr="00194907">
        <w:rPr>
          <w:rFonts w:ascii="Times New Roman" w:hAnsi="Times New Roman" w:cs="Times New Roman"/>
          <w:sz w:val="28"/>
          <w:szCs w:val="28"/>
        </w:rPr>
        <w:t>обслуживают потребность в общении со сверстниками:</w:t>
      </w:r>
      <w:r>
        <w:rPr>
          <w:rFonts w:ascii="Times New Roman" w:hAnsi="Times New Roman" w:cs="Times New Roman"/>
          <w:sz w:val="28"/>
          <w:szCs w:val="28"/>
        </w:rPr>
        <w:t xml:space="preserve"> общие увлечения дают повод для </w:t>
      </w:r>
      <w:r w:rsidRPr="00194907">
        <w:rPr>
          <w:rFonts w:ascii="Times New Roman" w:hAnsi="Times New Roman" w:cs="Times New Roman"/>
          <w:sz w:val="28"/>
          <w:szCs w:val="28"/>
        </w:rPr>
        <w:t>общения, его содержание и средства.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907">
        <w:rPr>
          <w:rFonts w:ascii="Times New Roman" w:hAnsi="Times New Roman" w:cs="Times New Roman"/>
          <w:sz w:val="28"/>
          <w:szCs w:val="28"/>
        </w:rPr>
        <w:t>В значи</w:t>
      </w:r>
      <w:r>
        <w:rPr>
          <w:rFonts w:ascii="Times New Roman" w:hAnsi="Times New Roman" w:cs="Times New Roman"/>
          <w:sz w:val="28"/>
          <w:szCs w:val="28"/>
        </w:rPr>
        <w:t xml:space="preserve">тельной части случаев подросток </w:t>
      </w:r>
      <w:r w:rsidRPr="00194907">
        <w:rPr>
          <w:rFonts w:ascii="Times New Roman" w:hAnsi="Times New Roman" w:cs="Times New Roman"/>
          <w:sz w:val="28"/>
          <w:szCs w:val="28"/>
        </w:rPr>
        <w:t>интересуется тем, чем интересуются его друзья, и если х</w:t>
      </w:r>
      <w:r>
        <w:rPr>
          <w:rFonts w:ascii="Times New Roman" w:hAnsi="Times New Roman" w:cs="Times New Roman"/>
          <w:sz w:val="28"/>
          <w:szCs w:val="28"/>
        </w:rPr>
        <w:t xml:space="preserve">очет войти в какую-то компанию, </w:t>
      </w:r>
      <w:r w:rsidRPr="00194907">
        <w:rPr>
          <w:rFonts w:ascii="Times New Roman" w:hAnsi="Times New Roman" w:cs="Times New Roman"/>
          <w:sz w:val="28"/>
          <w:szCs w:val="28"/>
        </w:rPr>
        <w:t>подружиться с кем-нибудь, то начинает действительно ин</w:t>
      </w:r>
      <w:r>
        <w:rPr>
          <w:rFonts w:ascii="Times New Roman" w:hAnsi="Times New Roman" w:cs="Times New Roman"/>
          <w:sz w:val="28"/>
          <w:szCs w:val="28"/>
        </w:rPr>
        <w:t xml:space="preserve">тересоваться тем, что интересно </w:t>
      </w:r>
      <w:r w:rsidRPr="00194907">
        <w:rPr>
          <w:rFonts w:ascii="Times New Roman" w:hAnsi="Times New Roman" w:cs="Times New Roman"/>
          <w:sz w:val="28"/>
          <w:szCs w:val="28"/>
        </w:rPr>
        <w:t>этой компании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4907">
        <w:t xml:space="preserve"> </w:t>
      </w:r>
      <w:r w:rsidRPr="00194907">
        <w:rPr>
          <w:rFonts w:ascii="Times New Roman" w:hAnsi="Times New Roman" w:cs="Times New Roman"/>
          <w:sz w:val="28"/>
          <w:szCs w:val="28"/>
        </w:rPr>
        <w:t>«Сверхценными» могут стать и ситуативные, и достаточно устойчивые желания,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907">
        <w:rPr>
          <w:rFonts w:ascii="Times New Roman" w:hAnsi="Times New Roman" w:cs="Times New Roman"/>
          <w:sz w:val="28"/>
          <w:szCs w:val="28"/>
        </w:rPr>
        <w:t>есть любые мотивы и потребности подростка. Подобные интересы обычно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907">
        <w:rPr>
          <w:rFonts w:ascii="Times New Roman" w:hAnsi="Times New Roman" w:cs="Times New Roman"/>
          <w:sz w:val="28"/>
          <w:szCs w:val="28"/>
        </w:rPr>
        <w:t>быстро проходят, однако при отсутствии каких-либо сильных конкурирующих мотивов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907"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Pr="00194907">
        <w:rPr>
          <w:rFonts w:ascii="Times New Roman" w:hAnsi="Times New Roman" w:cs="Times New Roman"/>
          <w:sz w:val="28"/>
          <w:szCs w:val="28"/>
        </w:rPr>
        <w:lastRenderedPageBreak/>
        <w:t>группы сверстников они могут приобрести характер длительного сверхценного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907">
        <w:rPr>
          <w:rFonts w:ascii="Times New Roman" w:hAnsi="Times New Roman" w:cs="Times New Roman"/>
          <w:sz w:val="28"/>
          <w:szCs w:val="28"/>
        </w:rPr>
        <w:t>увлечения.</w:t>
      </w:r>
    </w:p>
    <w:p w:rsidR="006E2C0A" w:rsidRDefault="00194907" w:rsidP="00194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75562"/>
            <wp:effectExtent l="19050" t="0" r="3175" b="0"/>
            <wp:docPr id="21" name="Рисунок 13" descr="C:\Windows\system32\config\systemprofile\Desktop\21 вопрос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Windows\system32\config\systemprofile\Desktop\21 вопросо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07" w:rsidRDefault="00194907" w:rsidP="00194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62025"/>
            <wp:effectExtent l="19050" t="0" r="3175" b="0"/>
            <wp:docPr id="22" name="Рисунок 14" descr="C:\Windows\system32\config\systemprofile\Desktop\22 вопро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Windows\system32\config\systemprofile\Desktop\22 вопроса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07" w:rsidRPr="003347C9" w:rsidRDefault="003347C9" w:rsidP="003347C9">
      <w:pPr>
        <w:jc w:val="both"/>
        <w:rPr>
          <w:rFonts w:ascii="Times New Roman" w:hAnsi="Times New Roman"/>
          <w:sz w:val="28"/>
          <w:szCs w:val="28"/>
        </w:rPr>
      </w:pPr>
      <w:r w:rsidRPr="003347C9">
        <w:rPr>
          <w:rFonts w:ascii="Times New Roman" w:hAnsi="Times New Roman"/>
          <w:sz w:val="28"/>
          <w:szCs w:val="28"/>
        </w:rPr>
        <w:t>Ответы на вопросы 21 и 22 свидетельствует  о том, что подростки выстраивают правильный выбор с учетом своих интересов и сильных сторон.</w:t>
      </w:r>
    </w:p>
    <w:p w:rsidR="00A028D6" w:rsidRDefault="003347C9" w:rsidP="004B7C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47C9">
        <w:rPr>
          <w:rFonts w:ascii="Times New Roman" w:hAnsi="Times New Roman"/>
          <w:b/>
          <w:sz w:val="28"/>
          <w:szCs w:val="28"/>
        </w:rPr>
        <w:t xml:space="preserve">Выводы: </w:t>
      </w:r>
      <w:r>
        <w:rPr>
          <w:rFonts w:ascii="Times New Roman" w:hAnsi="Times New Roman"/>
          <w:sz w:val="28"/>
          <w:szCs w:val="28"/>
        </w:rPr>
        <w:t>В</w:t>
      </w:r>
      <w:r w:rsidRPr="003347C9">
        <w:rPr>
          <w:rFonts w:ascii="Times New Roman" w:hAnsi="Times New Roman"/>
          <w:sz w:val="28"/>
          <w:szCs w:val="28"/>
        </w:rPr>
        <w:t xml:space="preserve">ыявление направленности и уровня развития мотивации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347C9">
        <w:rPr>
          <w:rFonts w:ascii="Times New Roman" w:hAnsi="Times New Roman"/>
          <w:sz w:val="28"/>
          <w:szCs w:val="28"/>
        </w:rPr>
        <w:t xml:space="preserve">учебной деятельности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3347C9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являлось целью данного мероприятия. </w:t>
      </w:r>
      <w:r w:rsidRPr="003347C9">
        <w:rPr>
          <w:rFonts w:ascii="Times New Roman" w:hAnsi="Times New Roman"/>
          <w:sz w:val="28"/>
          <w:szCs w:val="28"/>
        </w:rPr>
        <w:t>Количественный анализ результатов основывает</w:t>
      </w:r>
      <w:r>
        <w:rPr>
          <w:rFonts w:ascii="Times New Roman" w:hAnsi="Times New Roman"/>
          <w:sz w:val="28"/>
          <w:szCs w:val="28"/>
        </w:rPr>
        <w:t>ся на определении уровня мотива</w:t>
      </w:r>
      <w:r w:rsidRPr="003347C9">
        <w:rPr>
          <w:rFonts w:ascii="Times New Roman" w:hAnsi="Times New Roman"/>
          <w:sz w:val="28"/>
          <w:szCs w:val="28"/>
        </w:rPr>
        <w:t>ции учащихся к обучению в целом</w:t>
      </w:r>
      <w:r>
        <w:rPr>
          <w:rFonts w:ascii="Times New Roman" w:hAnsi="Times New Roman"/>
          <w:sz w:val="28"/>
          <w:szCs w:val="28"/>
        </w:rPr>
        <w:t xml:space="preserve"> и  составляет </w:t>
      </w:r>
      <w:r w:rsidRPr="003347C9">
        <w:rPr>
          <w:rFonts w:ascii="Times New Roman" w:hAnsi="Times New Roman"/>
          <w:sz w:val="28"/>
          <w:szCs w:val="28"/>
        </w:rPr>
        <w:t>высокий уровень</w:t>
      </w:r>
      <w:r w:rsidRPr="004B7C43">
        <w:rPr>
          <w:rFonts w:ascii="Times New Roman" w:hAnsi="Times New Roman"/>
          <w:sz w:val="28"/>
          <w:szCs w:val="28"/>
        </w:rPr>
        <w:tab/>
        <w:t>Качественный анализ позволил выделить преобладание конкретных мотивов в учебной деятельности учащихся. Определяется на основе выделенных учащимся ответов «верно» на соответствующие мотивы. У учащихся определяется ориентация на достижение успеха</w:t>
      </w:r>
      <w:r w:rsidR="004B7C43" w:rsidRPr="004B7C43">
        <w:rPr>
          <w:rFonts w:ascii="Times New Roman" w:hAnsi="Times New Roman"/>
          <w:sz w:val="28"/>
          <w:szCs w:val="28"/>
        </w:rPr>
        <w:t>, но также</w:t>
      </w:r>
      <w:r w:rsidR="004B7C43" w:rsidRPr="004B7C43">
        <w:rPr>
          <w:rFonts w:ascii="Times New Roman" w:hAnsi="Times New Roman"/>
          <w:sz w:val="24"/>
          <w:szCs w:val="24"/>
        </w:rPr>
        <w:t xml:space="preserve"> </w:t>
      </w:r>
      <w:r w:rsidR="004B7C43" w:rsidRPr="004B7C43">
        <w:rPr>
          <w:rFonts w:ascii="Times New Roman" w:hAnsi="Times New Roman"/>
          <w:sz w:val="28"/>
          <w:szCs w:val="28"/>
        </w:rPr>
        <w:t>присутствуют учебно-познавательные (содержание учения), учебно-</w:t>
      </w:r>
      <w:r w:rsidR="004B7C43" w:rsidRPr="004B7C43">
        <w:rPr>
          <w:rFonts w:ascii="Times New Roman" w:hAnsi="Times New Roman"/>
          <w:sz w:val="28"/>
          <w:szCs w:val="28"/>
        </w:rPr>
        <w:lastRenderedPageBreak/>
        <w:t>познавательные (процесс учения) мотивы.</w:t>
      </w:r>
      <w:r w:rsidRPr="004B7C43">
        <w:rPr>
          <w:rFonts w:ascii="Times New Roman" w:hAnsi="Times New Roman"/>
          <w:sz w:val="28"/>
          <w:szCs w:val="28"/>
        </w:rPr>
        <w:t xml:space="preserve"> Следует добавить, что данные мотивы учебной деятельности в наибольшей степени обраща</w:t>
      </w:r>
      <w:r w:rsidR="004B7C43" w:rsidRPr="004B7C43">
        <w:rPr>
          <w:rFonts w:ascii="Times New Roman" w:hAnsi="Times New Roman"/>
          <w:sz w:val="28"/>
          <w:szCs w:val="28"/>
        </w:rPr>
        <w:t>ют</w:t>
      </w:r>
      <w:r w:rsidRPr="004B7C43">
        <w:rPr>
          <w:rFonts w:ascii="Times New Roman" w:hAnsi="Times New Roman"/>
          <w:sz w:val="28"/>
          <w:szCs w:val="28"/>
        </w:rPr>
        <w:t xml:space="preserve"> внимание </w:t>
      </w:r>
      <w:r w:rsidR="004B7C43" w:rsidRPr="004B7C43">
        <w:rPr>
          <w:rFonts w:ascii="Times New Roman" w:hAnsi="Times New Roman"/>
          <w:sz w:val="28"/>
          <w:szCs w:val="28"/>
        </w:rPr>
        <w:t xml:space="preserve">и </w:t>
      </w:r>
      <w:r w:rsidRPr="004B7C43">
        <w:rPr>
          <w:rFonts w:ascii="Times New Roman" w:hAnsi="Times New Roman"/>
          <w:sz w:val="28"/>
          <w:szCs w:val="28"/>
        </w:rPr>
        <w:t>педагог</w:t>
      </w:r>
      <w:r w:rsidR="004B7C43" w:rsidRPr="004B7C43">
        <w:rPr>
          <w:rFonts w:ascii="Times New Roman" w:hAnsi="Times New Roman"/>
          <w:sz w:val="28"/>
          <w:szCs w:val="28"/>
        </w:rPr>
        <w:t>и, по результатам опроса. У</w:t>
      </w:r>
      <w:r w:rsidR="00194907" w:rsidRPr="004B7C43">
        <w:rPr>
          <w:rFonts w:ascii="Times New Roman" w:hAnsi="Times New Roman"/>
          <w:sz w:val="28"/>
          <w:szCs w:val="28"/>
        </w:rPr>
        <w:t>ровень проявления профессионально значимых черт личности учите</w:t>
      </w:r>
      <w:r w:rsidR="004B7C43" w:rsidRPr="004B7C43">
        <w:rPr>
          <w:rFonts w:ascii="Times New Roman" w:hAnsi="Times New Roman"/>
          <w:sz w:val="28"/>
          <w:szCs w:val="28"/>
        </w:rPr>
        <w:t xml:space="preserve">лей: </w:t>
      </w:r>
      <w:r w:rsidR="00194907" w:rsidRPr="004B7C43">
        <w:rPr>
          <w:rFonts w:ascii="Times New Roman" w:hAnsi="Times New Roman"/>
          <w:sz w:val="28"/>
          <w:szCs w:val="28"/>
        </w:rPr>
        <w:t>эмпати</w:t>
      </w:r>
      <w:r w:rsidR="004B7C43" w:rsidRPr="004B7C43">
        <w:rPr>
          <w:rFonts w:ascii="Times New Roman" w:hAnsi="Times New Roman"/>
          <w:sz w:val="28"/>
          <w:szCs w:val="28"/>
        </w:rPr>
        <w:t>я</w:t>
      </w:r>
      <w:r w:rsidR="00194907" w:rsidRPr="004B7C43">
        <w:rPr>
          <w:rFonts w:ascii="Times New Roman" w:hAnsi="Times New Roman"/>
          <w:sz w:val="28"/>
          <w:szCs w:val="28"/>
        </w:rPr>
        <w:t>, толерантност</w:t>
      </w:r>
      <w:r w:rsidR="004B7C43" w:rsidRPr="004B7C43">
        <w:rPr>
          <w:rFonts w:ascii="Times New Roman" w:hAnsi="Times New Roman"/>
          <w:sz w:val="28"/>
          <w:szCs w:val="28"/>
        </w:rPr>
        <w:t xml:space="preserve">ь, но присутствие </w:t>
      </w:r>
      <w:r w:rsidR="00194907" w:rsidRPr="004B7C43">
        <w:rPr>
          <w:rFonts w:ascii="Times New Roman" w:hAnsi="Times New Roman"/>
          <w:sz w:val="28"/>
          <w:szCs w:val="28"/>
        </w:rPr>
        <w:t>конфликтности</w:t>
      </w:r>
      <w:r w:rsidR="004B7C43" w:rsidRPr="004B7C43">
        <w:rPr>
          <w:rFonts w:ascii="Times New Roman" w:hAnsi="Times New Roman"/>
          <w:sz w:val="28"/>
          <w:szCs w:val="28"/>
        </w:rPr>
        <w:t xml:space="preserve"> также есть.</w:t>
      </w:r>
      <w:r w:rsidR="00194907" w:rsidRPr="004B7C43">
        <w:rPr>
          <w:rFonts w:ascii="Times New Roman" w:hAnsi="Times New Roman"/>
          <w:sz w:val="28"/>
          <w:szCs w:val="28"/>
        </w:rPr>
        <w:t xml:space="preserve"> </w:t>
      </w:r>
    </w:p>
    <w:p w:rsidR="00A028D6" w:rsidRPr="00A028D6" w:rsidRDefault="00A028D6" w:rsidP="00A028D6">
      <w:pPr>
        <w:rPr>
          <w:rFonts w:ascii="Times New Roman" w:hAnsi="Times New Roman"/>
          <w:sz w:val="28"/>
          <w:szCs w:val="28"/>
        </w:rPr>
      </w:pPr>
    </w:p>
    <w:p w:rsidR="00A028D6" w:rsidRDefault="00A028D6" w:rsidP="00A028D6">
      <w:pPr>
        <w:rPr>
          <w:rFonts w:ascii="Times New Roman" w:hAnsi="Times New Roman"/>
          <w:sz w:val="28"/>
          <w:szCs w:val="28"/>
        </w:rPr>
      </w:pPr>
    </w:p>
    <w:p w:rsidR="006114C7" w:rsidRDefault="006114C7" w:rsidP="006114C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образования,</w:t>
      </w:r>
    </w:p>
    <w:p w:rsidR="006114C7" w:rsidRDefault="006114C7" w:rsidP="006114C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молодежи и спорта</w:t>
      </w:r>
    </w:p>
    <w:p w:rsidR="006114C7" w:rsidRPr="00A028D6" w:rsidRDefault="006114C7" w:rsidP="006114C7">
      <w:pPr>
        <w:tabs>
          <w:tab w:val="left" w:pos="717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Первомайского района</w:t>
      </w:r>
      <w:r>
        <w:rPr>
          <w:rFonts w:ascii="Times New Roman" w:hAnsi="Times New Roman"/>
          <w:sz w:val="28"/>
          <w:szCs w:val="28"/>
        </w:rPr>
        <w:tab/>
        <w:t>И.Н. Бабичева</w:t>
      </w:r>
    </w:p>
    <w:p w:rsidR="00A028D6" w:rsidRDefault="00A028D6" w:rsidP="00A028D6">
      <w:pPr>
        <w:rPr>
          <w:rFonts w:ascii="Times New Roman" w:hAnsi="Times New Roman"/>
          <w:sz w:val="28"/>
          <w:szCs w:val="28"/>
        </w:rPr>
      </w:pPr>
    </w:p>
    <w:p w:rsidR="00BD31F2" w:rsidRDefault="00BD31F2" w:rsidP="00A028D6">
      <w:pPr>
        <w:spacing w:after="0"/>
        <w:rPr>
          <w:rFonts w:ascii="Times New Roman" w:hAnsi="Times New Roman"/>
          <w:sz w:val="28"/>
          <w:szCs w:val="28"/>
        </w:rPr>
      </w:pPr>
    </w:p>
    <w:p w:rsidR="00A028D6" w:rsidRDefault="00A028D6" w:rsidP="00A028D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</w:t>
      </w:r>
    </w:p>
    <w:p w:rsidR="00A028D6" w:rsidRPr="00A028D6" w:rsidRDefault="00BD31F2" w:rsidP="00A028D6">
      <w:pPr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="00A028D6">
        <w:rPr>
          <w:rFonts w:ascii="Times New Roman" w:hAnsi="Times New Roman"/>
          <w:sz w:val="28"/>
          <w:szCs w:val="28"/>
        </w:rPr>
        <w:t>Т.Н. Лабачук</w:t>
      </w:r>
    </w:p>
    <w:sectPr w:rsidR="00A028D6" w:rsidRPr="00A028D6" w:rsidSect="00A4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16EE"/>
    <w:multiLevelType w:val="multilevel"/>
    <w:tmpl w:val="A984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C121A"/>
    <w:multiLevelType w:val="multilevel"/>
    <w:tmpl w:val="D848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97B"/>
    <w:rsid w:val="000F2667"/>
    <w:rsid w:val="001776D7"/>
    <w:rsid w:val="00194907"/>
    <w:rsid w:val="00231ED5"/>
    <w:rsid w:val="002762EB"/>
    <w:rsid w:val="00294A95"/>
    <w:rsid w:val="00296486"/>
    <w:rsid w:val="002C0603"/>
    <w:rsid w:val="00313770"/>
    <w:rsid w:val="003347C9"/>
    <w:rsid w:val="003E5640"/>
    <w:rsid w:val="0044444B"/>
    <w:rsid w:val="004553AF"/>
    <w:rsid w:val="004B7C43"/>
    <w:rsid w:val="004C1980"/>
    <w:rsid w:val="004C6D7E"/>
    <w:rsid w:val="004E61E5"/>
    <w:rsid w:val="005645A2"/>
    <w:rsid w:val="006114C7"/>
    <w:rsid w:val="006C2D39"/>
    <w:rsid w:val="006E2C0A"/>
    <w:rsid w:val="00786363"/>
    <w:rsid w:val="007C6E52"/>
    <w:rsid w:val="007E397B"/>
    <w:rsid w:val="00816D61"/>
    <w:rsid w:val="00861479"/>
    <w:rsid w:val="008C0945"/>
    <w:rsid w:val="00963D01"/>
    <w:rsid w:val="00986005"/>
    <w:rsid w:val="009A37EC"/>
    <w:rsid w:val="009C0DBC"/>
    <w:rsid w:val="00A028D6"/>
    <w:rsid w:val="00A41E13"/>
    <w:rsid w:val="00A46907"/>
    <w:rsid w:val="00B53788"/>
    <w:rsid w:val="00BD31F2"/>
    <w:rsid w:val="00C200A4"/>
    <w:rsid w:val="00C81264"/>
    <w:rsid w:val="00CD5088"/>
    <w:rsid w:val="00D449C4"/>
    <w:rsid w:val="00DA346F"/>
    <w:rsid w:val="00DA5E1A"/>
    <w:rsid w:val="00E11BBA"/>
    <w:rsid w:val="00E84173"/>
    <w:rsid w:val="00EC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97B"/>
    <w:rPr>
      <w:color w:val="0000FF"/>
      <w:u w:val="single"/>
    </w:rPr>
  </w:style>
  <w:style w:type="table" w:styleId="a5">
    <w:name w:val="Table Grid"/>
    <w:basedOn w:val="a1"/>
    <w:uiPriority w:val="59"/>
    <w:rsid w:val="00E11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9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7C4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14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cp:lastPrinted>2021-07-02T11:17:00Z</cp:lastPrinted>
  <dcterms:created xsi:type="dcterms:W3CDTF">2021-03-19T07:40:00Z</dcterms:created>
  <dcterms:modified xsi:type="dcterms:W3CDTF">2021-07-05T07:36:00Z</dcterms:modified>
</cp:coreProperties>
</file>