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9D" w:rsidRPr="005F7A9D" w:rsidRDefault="005F7A9D" w:rsidP="005F7A9D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5F7A9D" w:rsidRPr="005F7A9D" w:rsidRDefault="005F7A9D" w:rsidP="005F7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5F7A9D" w:rsidRPr="005F7A9D" w:rsidRDefault="005F7A9D" w:rsidP="005F7A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5F7A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55BCF1C" wp14:editId="0E256155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7A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13AC88" wp14:editId="4CCEAF27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A9D" w:rsidRPr="005F7A9D" w:rsidRDefault="005F7A9D" w:rsidP="005F7A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5F7A9D" w:rsidRPr="005F7A9D" w:rsidRDefault="005F7A9D" w:rsidP="005F7A9D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АДМИНИСТРАЦИЯ СИМФЕРОПОЛЬСКОГО РАЙОНА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КРЫМ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УПРАВЛЕНИЕ ОБРАЗОВАНИЯ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ПРИКАЗ</w:t>
      </w:r>
    </w:p>
    <w:p w:rsidR="005F7A9D" w:rsidRPr="00E661FA" w:rsidRDefault="005F7A9D" w:rsidP="005F7A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Pr="000D6A2E" w:rsidRDefault="008E0257" w:rsidP="00D03024">
      <w:pPr>
        <w:spacing w:after="0" w:line="240" w:lineRule="auto"/>
        <w:ind w:right="-2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>.01.</w:t>
      </w:r>
      <w:r w:rsidR="005F7A9D" w:rsidRPr="00E661FA">
        <w:rPr>
          <w:rFonts w:ascii="Times New Roman" w:hAnsi="Times New Roman" w:cs="Times New Roman"/>
          <w:sz w:val="24"/>
          <w:szCs w:val="24"/>
        </w:rPr>
        <w:t>20</w:t>
      </w:r>
      <w:r w:rsidR="001A245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5F7A9D" w:rsidRPr="00E661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</w:rPr>
        <w:tab/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5F7A9D">
        <w:rPr>
          <w:rFonts w:ascii="Times New Roman" w:hAnsi="Times New Roman" w:cs="Times New Roman"/>
          <w:sz w:val="24"/>
          <w:szCs w:val="24"/>
          <w:lang w:val="ru-RU"/>
        </w:rPr>
        <w:t>г.Симферополь</w:t>
      </w:r>
      <w:proofErr w:type="spellEnd"/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5F7A9D" w:rsidRPr="00E661FA">
        <w:rPr>
          <w:rFonts w:ascii="Times New Roman" w:hAnsi="Times New Roman" w:cs="Times New Roman"/>
          <w:sz w:val="24"/>
          <w:szCs w:val="24"/>
        </w:rPr>
        <w:t>№</w:t>
      </w:r>
      <w:r w:rsidR="001A24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</w:p>
    <w:p w:rsidR="005F7A9D" w:rsidRPr="003377C2" w:rsidRDefault="005F7A9D" w:rsidP="005F7A9D">
      <w:pPr>
        <w:spacing w:after="0" w:line="240" w:lineRule="auto"/>
        <w:ind w:left="426" w:right="-291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Default="005F7A9D" w:rsidP="00D03024">
      <w:pPr>
        <w:spacing w:after="0"/>
        <w:ind w:right="-291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итогах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повышению</w:t>
      </w:r>
      <w:proofErr w:type="spellEnd"/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функциональной</w:t>
      </w:r>
      <w:proofErr w:type="spellEnd"/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грамотности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5F7A9D" w:rsidRDefault="005F7A9D" w:rsidP="00D03024">
      <w:pPr>
        <w:spacing w:after="0"/>
        <w:ind w:left="426" w:right="-291" w:hanging="426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Симферопольском районе за 1 полугодие 2023/2024 учебного года</w:t>
      </w:r>
    </w:p>
    <w:p w:rsidR="005F7A9D" w:rsidRDefault="005F7A9D" w:rsidP="006B7F04">
      <w:pPr>
        <w:spacing w:after="0"/>
        <w:ind w:left="-426" w:right="-291" w:firstLine="568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7F2CC3" w:rsidRDefault="00F64A5A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 исполнение письма</w:t>
      </w:r>
      <w:r w:rsidRPr="00F64A5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Министерства просвещения Российской Федерации от 14.09.2021 № 03-1510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F64A5A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«Об организации работы по повышению функциональной грамотности»,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5F7A9D" w:rsidRP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приказа Министерства образования, науки и молодё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жи Республики Крым от 08.10.2024 № 1561</w:t>
      </w:r>
      <w:r w:rsidR="005F7A9D" w:rsidRP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«Об организации работы по повышен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ию функциональной грамотности», 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приказов упра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вления образования от 26.08.2024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№ 777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 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утверждении  Плана мероприятий («Дорожная карта») по формированию и оценке функциональной грамотности обучающихся общеобр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азовательных организаций на 2024/2025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год»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от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15.10.2024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№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993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r w:rsidR="005F7A9D" w:rsidRPr="000D6DC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 утверждении Положения о системе работы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формированию функциональной </w:t>
      </w:r>
      <w:r w:rsidR="005F7A9D" w:rsidRPr="000D6DC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грамотности обучающихся общеобразовательных учреждений  Симферопольского района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2024/2025 учебный год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в течение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1 полугодия 2024/2025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учебного года проводилась системная и целенаправленная работа</w:t>
      </w:r>
      <w:r w:rsidR="005F7A9D" w:rsidRPr="00BA6149">
        <w:t xml:space="preserve"> 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формированию и оценке функциональной грамотности обучающихся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педагогов 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общеобразовательных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учреждений.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D46C7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 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сайте МБОУ ДО «ЦДЮТ»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создан раздел 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«Функциональная грамотность»,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где 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размещены </w:t>
      </w:r>
      <w:r w:rsidR="007F2CC3"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все региональные и муниципальные приказы на 2024/2025 учебный год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; 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банк заданий для формирования функциональной грамотности обучающихся основной школ</w:t>
      </w:r>
      <w:r w:rsidR="007F2CC3"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ы (5-9 классы) по направлениям: 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читательская грамотность, математическая грамотность, естественнонаучная грам</w:t>
      </w:r>
      <w:r w:rsidR="007F2CC3"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отность,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 финансовая грамотность, креативное мышление</w:t>
      </w:r>
      <w:r w:rsidR="007F2CC3" w:rsidRPr="004F2E02">
        <w:rPr>
          <w:highlight w:val="green"/>
        </w:rPr>
        <w:t xml:space="preserve"> и </w:t>
      </w:r>
      <w:r w:rsidR="007F2CC3"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глобальные компетенции</w:t>
      </w:r>
      <w:r w:rsidRPr="004F2E02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; электронный банк заданий для оценки функциональной грамотности для обучающихся и учителей; открытый банк заданий для оценки естественнонаучной грамотности (7-9 классы).</w:t>
      </w:r>
      <w:bookmarkStart w:id="0" w:name="_GoBack"/>
      <w:bookmarkEnd w:id="0"/>
    </w:p>
    <w:p w:rsidR="001F648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 целью функционирования информационного блока «Функциональная грамотность» на сайтах общеобразовательных организаций; изучения наполнения контента раздела сайтов по вопросам формирования функциональной г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рамотности; наличия публикаций 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методических материалов для работы по повышению качества функциональной грамотности в общеобразовательных организациях был проведен мониторинг информационного блока «Функциональная грамотность» на сайтах общеобразовательных организаций.   В ходе мониторинга выявлено, что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42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общеобразовательн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ых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ях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функционирует информационный блок «Функциональная грамотность».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F648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На предмет достаточного наполнения контента раздела сайтов по вопросам формирования функциональной грамотности 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наличия региональных, муниципальных и школьных документов на 2024/2025 учебный год был осуществлен мониторинг сайтов МБОУ 10.01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.2025. Следует отметить 5 </w:t>
      </w:r>
      <w:proofErr w:type="spellStart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</w:t>
      </w:r>
      <w:proofErr w:type="gramStart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: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gram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Гвардейская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№ 3»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 w:rsidRPr="001F6486"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«Донская школа 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им.В.П.Давиденко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 w:rsidRPr="001F6486"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 им. 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Авраамова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Г.Н.»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Новоселовская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Трудовская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имеют всю необходимую информацию.</w:t>
      </w:r>
    </w:p>
    <w:p w:rsidR="001F6486" w:rsidRDefault="001F6486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Нет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наличия региональных, муниципальных и школьных документов на 2024/2025 учебный год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20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МБОУ: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Журавлевская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№2 с 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ымскотатарским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обучения»,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«Константиновская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«Лицей Крымской весны»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t>,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«Николаевская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ED2BD4" w:rsidRPr="00ED2BD4"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«Перовская школа-гимназия им. 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«Пожарская школа»</w:t>
      </w:r>
      <w:r w:rsidR="00ED2BD4">
        <w:t xml:space="preserve">, </w:t>
      </w:r>
      <w:r w:rsidR="00ED2BD4" w:rsidRPr="00ED2B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D2BD4" w:rsidRPr="00ED2BD4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ED2BD4" w:rsidRPr="00ED2BD4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="00ED2BD4" w:rsidRPr="00ED2BD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ED2BD4" w:rsidRPr="00ED2BD4">
        <w:rPr>
          <w:rFonts w:ascii="Times New Roman" w:hAnsi="Times New Roman" w:cs="Times New Roman"/>
          <w:sz w:val="24"/>
          <w:szCs w:val="24"/>
        </w:rPr>
        <w:t>. Ф.И.Федоренко»</w:t>
      </w:r>
      <w:r w:rsidR="00ED2BD4" w:rsidRPr="00ED2B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D2BD4" w:rsidRPr="00ED2BD4">
        <w:rPr>
          <w:rFonts w:ascii="Times New Roman" w:hAnsi="Times New Roman" w:cs="Times New Roman"/>
          <w:sz w:val="24"/>
          <w:szCs w:val="24"/>
        </w:rPr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азия»,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ED2BD4"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им.К.Д.Ушинского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ED2BD4"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«Украинская школа»</w:t>
      </w:r>
      <w:r w:rsidR="00ED2BD4">
        <w:t xml:space="preserve">,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Чистенская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кола-гимназия им </w:t>
      </w:r>
      <w:proofErr w:type="spellStart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И.С.Тарасюка</w:t>
      </w:r>
      <w:proofErr w:type="spellEnd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»,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1F6486" w:rsidRDefault="00ED2BD4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 «</w:t>
      </w:r>
      <w:proofErr w:type="spellStart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 им. </w:t>
      </w:r>
      <w:proofErr w:type="spellStart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Н.Н.Белова</w:t>
      </w:r>
      <w:proofErr w:type="spellEnd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C70B6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до сих пор не предоставило данные о школьном кураторе ФГ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активную ссылку на раздел «Функциональная грамотность» на сайте школы.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 исполнение приказов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год», от 01.10.2024 № 921 «О проведении Недели функциональной грамотности обучающихся в 9-х классах общеобразовательных организаций на 2024/2025 учебный год» и от 12.11.2024 № 1117 «О проведении Недели функциональной грамотности обучающихся  8-х классов общеобразовательных организаций на 2024/2025 учебный год» с целью выполнения мероприятий по выстраиванию  муниципальной системы оценки качества на основе практики международных сравнительных исследований в 9-х и 8-х классах общеобразовательных учреждений  района с 11.11.2024 по 18.11.2024   и с 02.12.2024 по 10.12.2024, соответственно,   были проведены Недели функциональной грамотности по 6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функциональной грамотности у учащихся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«Читательская грамотность»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приняли участие учащиеся 9-х и 8-х классов из 40 ОУ Симферопольского района и все участника мониторинга справились со всеми заданиями (100%). У учащихся 9-х и 8-х классов </w:t>
      </w:r>
      <w:proofErr w:type="spellStart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умения сформированы на среднем уровне.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«Математическая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принимали участие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учащиеся 9-х и 8-х классов из 40 ОУ Симферопольского района.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 учащихся 9-х и 8-х классов уровень освоения основных компетенций, определяющих </w:t>
      </w:r>
      <w:proofErr w:type="spellStart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математической грамотности - средний и ниже.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«Естественнонаучной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принимали участие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учащиеся 9-х и 8-х классов из 40 ОУ Симферопольского района.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Анализ полученных результатов свидетельствуют об уровне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естественнонаучной функциональной грамотности на среднем уровне - 60,4% от всех учащихся, принявших участие в мониторинге.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«Финансовая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 участие учащиеся 9-х и 8-х классов из 37 МБОУ Симферопольского района. Средний процент выполнения всех заданий мониторинга составил - 59%. Уровень освоения основных компетенций, определяющих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финансовой грамотности - средний в сторону повышения.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«Креативное мышление»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участие обучающиеся 9-х и 8-х 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классов из 38 школы Симферопольского района.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результатам анализа итогов мониторинга креативное мышление сформировано у 28% детей, не сформировано у 23%. 49% обучающихся имеют средний уровень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КМ.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«Глобальные компетенции»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 участие обучающиеся 9-х и 8-х классов из 38 школы Симферопольского района.</w:t>
      </w:r>
    </w:p>
    <w:p w:rsid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Успешность выполнения заданий в среднем по району составила 55%.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Говоря об отчётности и исполнительской дисциплине предоставления отчётов по направлениям, необходимо отметить недобросовестное отношение школьных координат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ров проекта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– несвоевременная сдача отчётов, 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недоброс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овестное заполнение отчётов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</w:t>
      </w:r>
    </w:p>
    <w:p w:rsidR="00B16041" w:rsidRDefault="00B16041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Говоря об участии школ Симферопольского района в формировании ФГ на платформе РЭШ, стоит отметить постоянных участников: «Гвардейская школа-гимназия № 2», «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Мазанская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школа», «Партизанская школа им. 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А.П.Богданова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»,</w:t>
      </w:r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«</w:t>
      </w:r>
      <w:proofErr w:type="spellStart"/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Родниковская</w:t>
      </w:r>
      <w:proofErr w:type="spellEnd"/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школа-гимназия»,</w:t>
      </w:r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«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Урожайновская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 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им.К.В.Варлыгина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». Доля обучающихся по общеобразовательным программам основного общего образования, достигших установленного базового значения функциональной грамотности, от общей численности обучающихся, прошедших тестирование по функциональной грамотности (8 и 9 классов), % составляет от 71% до 98%.</w:t>
      </w:r>
    </w:p>
    <w:p w:rsidR="00D46C76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</w:t>
      </w:r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овышение уровня функциональной грамотности учащихся может быть обеспечено успешной реализацией ФГОС, т.е. за счет достижения планируемых предметных, </w:t>
      </w:r>
      <w:proofErr w:type="spellStart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метапредметных</w:t>
      </w:r>
      <w:proofErr w:type="spellEnd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личностных результатов, если в учебном процессе реализован комплексный системно-</w:t>
      </w:r>
      <w:proofErr w:type="spellStart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деятельностный</w:t>
      </w:r>
      <w:proofErr w:type="spellEnd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подход, если процесс усвоения идет как процесс решения учащимися различных классов задач, задач на применение или перенос тех знаний и тех умений, которые учитель формирует.</w:t>
      </w:r>
      <w:proofErr w:type="gramEnd"/>
      <w:r w:rsidR="004E39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Достигнуть высоких результатов можно только в случае грамотно построенного учебно-воспитательного процесса с привлечением всех его участников</w:t>
      </w:r>
      <w:r w:rsidR="00D46C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320FDA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13ED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Методистами МБОУ ДО «ЦДЮТ» проводится систематическая работа по повышению фу</w:t>
      </w:r>
      <w:r w:rsidR="00D46C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нкциональной грамотности педагогов</w:t>
      </w:r>
      <w:r w:rsidRPr="00D13ED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: </w:t>
      </w:r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РМО учителей математики, 27.08.2024. При рассмотрении вопроса №3 «Особенности преподавания предмета в 2024-2025 учебном году» рассматривался блок, посвященный формированию ФГ с указанием информационных ресурсов (</w:t>
      </w:r>
      <w:hyperlink r:id="rId10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https://krippo.ru/index.php/v-pomoshch-uchitelyu/v-pomosh-ychitelu/14-moduli/2190-funktsionalnaya-gramotnost</w:t>
        </w:r>
      </w:hyperlink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), </w:t>
      </w:r>
      <w:hyperlink r:id="rId11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, а так же с анализом мониторингов по формированию ФГ в основной школе.</w:t>
      </w:r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РМО учителей математики, 14.10.2024 по теме «Формирование и оценка ФГ на уроках математики как инструмент по подготовке к ГИА» на базе МБОУ «</w:t>
      </w:r>
      <w:proofErr w:type="spellStart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Кольчугинская</w:t>
      </w:r>
      <w:proofErr w:type="spellEnd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 №2 с </w:t>
      </w:r>
      <w:proofErr w:type="spellStart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крымскотатарским</w:t>
      </w:r>
      <w:proofErr w:type="spellEnd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языком обучения». </w:t>
      </w:r>
      <w:hyperlink r:id="rId12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Были рассмотрены фрагменты уроков и практических занятий: </w:t>
      </w:r>
    </w:p>
    <w:p w:rsidR="00320FDA" w:rsidRDefault="00320FDA" w:rsidP="006B7F04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Применение функциональной грамотности на уроках математики 6 класса. Расчет стоимости салата Оливье</w:t>
      </w:r>
    </w:p>
    <w:p w:rsidR="00320FDA" w:rsidRDefault="00320FDA" w:rsidP="000C5895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Практико-ориентированные задачи на </w:t>
      </w: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ОГЭ-9 класс</w:t>
      </w:r>
    </w:p>
    <w:p w:rsidR="00320FDA" w:rsidRDefault="00320FDA" w:rsidP="000C5895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Применение функциональной грамотности на уроках математики 8 класса.</w:t>
      </w:r>
    </w:p>
    <w:p w:rsidR="00320FDA" w:rsidRPr="006B7F04" w:rsidRDefault="00320FDA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На сайте МБОУ ДО «ЦДЮТ» размещены материалы по формированию функциональной грамотности по математике: </w:t>
      </w:r>
      <w:hyperlink r:id="rId13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</w:p>
    <w:p w:rsidR="00320FDA" w:rsidRPr="006B7F04" w:rsidRDefault="00320FDA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Семинар-практикум учителей английского языка 25.11.2024 по теме «Читательская грамотность на уроке английского языка: стратегии и алгоритм работы с текстом» </w:t>
      </w:r>
      <w:hyperlink r:id="rId14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https://cdytsimf.crimeaschool.ru/materialy_rmo_shmu_sp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20FDA" w:rsidRPr="006B7F04" w:rsidRDefault="00320FDA" w:rsidP="000C5895">
      <w:pPr>
        <w:spacing w:after="0"/>
        <w:ind w:left="-426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Мастер-класс учителей английского языка 16.12.2024 по теме «Образовательный веб-</w:t>
      </w:r>
      <w:proofErr w:type="spellStart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квест</w:t>
      </w:r>
      <w:proofErr w:type="spellEnd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как способ формирования функциональной грамотности на уроках английского языка»</w:t>
      </w:r>
      <w:r w:rsidRPr="00320FDA">
        <w:t xml:space="preserve"> </w:t>
      </w:r>
      <w:hyperlink r:id="rId15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https://cdytsimf.crimeaschool.ru/materialy_rmo_shmu_sp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</w:t>
      </w:r>
    </w:p>
    <w:p w:rsidR="00320FDA" w:rsidRPr="006B7F04" w:rsidRDefault="00C93B6B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РМО учителей географии 22.08.2024 по теме «Знакомство педагогов с Единой рамкой компетенций по финансовой грамотности» </w:t>
      </w:r>
      <w:hyperlink r:id="rId16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https://cdytsimf.crimeaschool.ru/finansovaya_gramotnost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C93B6B" w:rsidRPr="006B7F04" w:rsidRDefault="00C93B6B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РМО учителей географии 19.12.2024 по теме «Интегрированный урок как средство формирования </w:t>
      </w:r>
      <w:proofErr w:type="spellStart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межпредметных</w:t>
      </w:r>
      <w:proofErr w:type="spellEnd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компетенций учащихся. Организация наставничества по повышению компетенций учителя географии в области формирования и оценивания функциональной (в том числе – финансовой) грамотности обучающихся» </w:t>
      </w:r>
      <w:hyperlink r:id="rId17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https://cdytsimf.crimeaschool.ru/mrmo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30243" w:rsidRDefault="00330243" w:rsidP="000C5895">
      <w:pPr>
        <w:pStyle w:val="a5"/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ШМУ по биологии и физике по теме «Формирование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естественно-научной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грамотности на уроках биологии и физики» </w:t>
      </w:r>
      <w:hyperlink r:id="rId18" w:history="1">
        <w:r w:rsidRPr="00B0477C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https://cdytsimf.crimeaschool.ru/mo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20FDA" w:rsidRPr="006B7F04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Тематические выезды по теме «Формирование естественно-научной и финансовой грамотности учащихся на уроках географии»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C36DC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Разработаны методические рекомендации по вопросам формирования и оц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енки функциональной грамотности. 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Были проведены инструктивно-методические совещания с заместит</w:t>
      </w:r>
      <w:r w:rsidR="004C36D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елями руководителя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вопросам «Организация работы по повыше</w:t>
      </w:r>
      <w:r w:rsidR="004C36D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нию функциональной грамотности </w:t>
      </w:r>
      <w:r w:rsid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Симферопольском районе на 2024/2025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год».</w:t>
      </w:r>
    </w:p>
    <w:p w:rsidR="004C36DC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Ежеквартально проводились 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заседани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рабочей группы, на котор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ых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были распределены функциональные обязаннос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 каждого члена рабочей группы, 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рассматривался план работы по развитию функциональной грамотности по каждому направлению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заслушивались отчеты ответственных по шести направлениям.</w:t>
      </w:r>
    </w:p>
    <w:p w:rsidR="005F7A9D" w:rsidRPr="004C36DC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 w:rsidRPr="000901A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еобходимо отметить, что большое значение в формировании функциональной грамотности школьников имеет сотрудничество учеников, учителей, родителей. Если не будет понимания и гармонии в отношениях, учебно-воспитательный процесс не будет результативным. Достигнуть высоких результатов можно только в случае грамотно построенного учебно-воспитательного процесса с привлечением всех его участников.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 основании проведенной работы по повышению уровня функциональной грамотности обучающихся и педагогов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общеобразовательных учреждений</w:t>
      </w:r>
      <w:r w:rsidRP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руководствуясь необходимостью дальн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ейшего развития компетенций, 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30243" w:rsidRDefault="00330243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ПРИКАЗЫВАЮ: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30243" w:rsidRPr="004E394E" w:rsidRDefault="00330243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Признать работу по повыше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нию функциональной грамотности в Симферопольском районе за </w:t>
      </w:r>
      <w:r w:rsidR="00341827"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1 полугодие 2024/2025</w:t>
      </w: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 учебного года удовлетворительной</w:t>
      </w:r>
    </w:p>
    <w:p w:rsidR="00330243" w:rsidRPr="004E394E" w:rsidRDefault="00330243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Руководителям общеобразовательных учреждений:</w:t>
      </w:r>
    </w:p>
    <w:p w:rsidR="00330243" w:rsidRPr="004E394E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lastRenderedPageBreak/>
        <w:t>продолжить работу по формированию функциональной грамотности по всем направлениям.</w:t>
      </w:r>
    </w:p>
    <w:p w:rsidR="00330243" w:rsidRPr="004E394E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2.1. проанализировать итоги работы по повышению функциональной грамотности  </w:t>
      </w:r>
    </w:p>
    <w:p w:rsidR="00330243" w:rsidRPr="004E394E" w:rsidRDefault="00330243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                                                                                                                                  Январь,2025;</w:t>
      </w:r>
    </w:p>
    <w:p w:rsidR="00330243" w:rsidRPr="004E394E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2.2.организовать обучение педагогов на региональных/российских мероприятиях (курсах, другое) по повышению квалификации в указанном направлении. Обратить внимание на те мероприятия, в рамках которых педагоги сами обретают умения, проверяемые в международных исследованиях PISA, обучаются способам интерпретации и оценки текста</w:t>
      </w:r>
    </w:p>
    <w:p w:rsidR="00330243" w:rsidRPr="00330243" w:rsidRDefault="00330243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                                                                   в течени</w:t>
      </w:r>
      <w:proofErr w:type="gramStart"/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и</w:t>
      </w:r>
      <w:proofErr w:type="gramEnd"/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 2024/2025 учебного года.</w:t>
      </w:r>
    </w:p>
    <w:p w:rsidR="00B16041" w:rsidRDefault="005D18A4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Директорам МБОУ 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Никитчук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Е.В.)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(Иванушкина А.А.)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Журавлевская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Переведенцева</w:t>
      </w:r>
      <w:proofErr w:type="spellEnd"/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№2 с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крымскотатарским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санова У.С.)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«Константиновская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Маршалок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«Лицей Крымской весны»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(Гончарова Н.Г.)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«Николаевская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(Бут Е.А.)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«Перовская школа-гимназия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«Пожарская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(Берестюк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Перевальненская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Ф.И.Федоренко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(Борисенко Т.А.)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Тафийчку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Дузенко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В.Г.)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кола-гимназия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им.К.Д.Ушинского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(Сафронова Е.Ш.), 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«Украинская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(Ткаченко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Дамадаева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Чистенская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И.С.Тарасюка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Котолупова</w:t>
      </w:r>
      <w:proofErr w:type="spellEnd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Л.Г.)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обеспечить 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нап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олнение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контента раздела сайтов 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школ 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 вопросам формирования функциональной грамотности и наличия региональных, муниципальных и школьных документов на 2024/2025 учебный год </w:t>
      </w:r>
    </w:p>
    <w:p w:rsidR="00B16041" w:rsidRDefault="00B16041" w:rsidP="006B7F04">
      <w:pPr>
        <w:pStyle w:val="a5"/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Январь, 2025;</w:t>
      </w:r>
    </w:p>
    <w:p w:rsidR="00B16041" w:rsidRPr="00B16041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Директорам МБОУ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Трудовская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Кибирева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Тепловская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Сеитвелиева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Э.У.),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 с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крымскотатарским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 (Асанова У.С.),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К.В.), «Перовская школа-гимназия им. Г.А.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Хачирашвили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«Партизанская школа им. А.П. Богданова» (Терещенко А.В.), «Винницкая школа» (Васильченко Я.Д.), «Украинская школа» (Ткаченко Н.В.), обучающиеся которых показали низкие результаты по итогам мониторинга ФГ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8х и 9х классах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6 направлениям, проанализировать причины низкой результативности участия в мониторинге, итоги заслушать на совещании при директоре </w:t>
      </w:r>
    </w:p>
    <w:p w:rsidR="00B16041" w:rsidRPr="00B16041" w:rsidRDefault="00B16041" w:rsidP="006B7F04">
      <w:pPr>
        <w:pStyle w:val="a5"/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Январь, 2025;</w:t>
      </w:r>
    </w:p>
    <w:p w:rsidR="00B16041" w:rsidRPr="004E394E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Директорам МБОУ «Винницкая школа» (Васильченко Я.Д.), «Гвардейская школа № 1»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Шепченко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А.И.), «Гвардейская школа-гимназия № 2» (Богданова Е.В.), «Гвардейская школа-гимназия № 3» (Чванова Е.В.),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Никитчук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Е.В.), «Донская школа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им.В.П.Давиденко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(Мельник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(Иванушкина А.А.), «Константиновская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Маршалок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М.В.), «Кубанская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С.П.Королёва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Скуратовская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1» (Гуртовой А.А.),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2» (Мокрушина О.Н.),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Молодежненская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2» (Левицкая И.С.), «Николаевская школа» (Бут Е.А.),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Новоандреевская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В.А.Осипова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(Калугина И.Б.), «Перовская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«Первомайская школа» (Янковская Т.С.), «Пожарская школа» (Берестюк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Перевальненская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Ф.И.Федоренко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(Борисенко Т.А.),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Дузенко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В.Г.),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Тепловская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Сеитвелиева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Э.У.),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К.Д.Ушинский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(Сафронова Е.Ш.), </w:t>
      </w: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«Укромновская школа» (Сейтмамедова А.К.),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Урожайновская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К.В.Варлыгина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(Сидоренко В.Г.),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Дамадаева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К.В.), «Украинская школа» (Ткаченко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Кленовская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основная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Гарн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О.В.), </w:t>
      </w: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чьи школы не принимали участия в мониторингах по функциональной грамотности в 8х и 9х классах по тем или иным направлениям, несвоевременно предоставляли отчётность и достоверность данных  проанализировать причины отсутствия информации по участию школы и отчётности, и обеспечить участие в мониторингах по функциональной грамотности по всем направлениям и своевременную отчётную документацию в дальнейшем </w:t>
      </w:r>
    </w:p>
    <w:p w:rsidR="00B16041" w:rsidRPr="004E394E" w:rsidRDefault="00B16041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 xml:space="preserve">2024/2025 учебный год </w:t>
      </w:r>
    </w:p>
    <w:p w:rsidR="00B16041" w:rsidRPr="004E394E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Директорам всех МБОУ Симферопольского района организовать работу в электронном банке заданий для оценки функциональной грамотности на платформе РЭШ</w:t>
      </w:r>
    </w:p>
    <w:p w:rsidR="00B16041" w:rsidRDefault="00B16041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4E394E">
        <w:rPr>
          <w:rFonts w:ascii="Times New Roman" w:hAnsi="Times New Roman" w:cs="Times New Roman"/>
          <w:bCs/>
          <w:iCs/>
          <w:sz w:val="24"/>
          <w:szCs w:val="24"/>
          <w:highlight w:val="green"/>
          <w:lang w:val="ru-RU"/>
        </w:rPr>
        <w:t>2024/2025 учебный год.</w:t>
      </w:r>
    </w:p>
    <w:p w:rsidR="00B16041" w:rsidRPr="00B16041" w:rsidRDefault="005F7A9D" w:rsidP="006B7F04">
      <w:pPr>
        <w:pStyle w:val="a5"/>
        <w:numPr>
          <w:ilvl w:val="0"/>
          <w:numId w:val="4"/>
        </w:numPr>
        <w:spacing w:after="0"/>
        <w:ind w:left="-426" w:firstLine="56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данного приказа во</w:t>
      </w:r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>зложить на мет</w:t>
      </w:r>
      <w:r w:rsidR="00341827">
        <w:rPr>
          <w:rFonts w:ascii="Times New Roman" w:hAnsi="Times New Roman" w:cs="Times New Roman"/>
          <w:sz w:val="24"/>
          <w:szCs w:val="24"/>
          <w:lang w:val="ru-RU"/>
        </w:rPr>
        <w:t xml:space="preserve">одиста </w:t>
      </w:r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>МБОУ ДО «ЦДЮТ»  Юрченко О.А.</w:t>
      </w:r>
    </w:p>
    <w:p w:rsidR="005F7A9D" w:rsidRPr="00B16041" w:rsidRDefault="00341827" w:rsidP="006B7F04">
      <w:pPr>
        <w:pStyle w:val="a5"/>
        <w:numPr>
          <w:ilvl w:val="0"/>
          <w:numId w:val="4"/>
        </w:numPr>
        <w:spacing w:after="0"/>
        <w:ind w:left="-426" w:firstLine="56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</w:t>
      </w:r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 xml:space="preserve">приказа возложить на директора МБОУ ДО «ЦДЮТ» Т.Н. </w:t>
      </w:r>
      <w:proofErr w:type="spellStart"/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7A9D" w:rsidRDefault="005F7A9D" w:rsidP="006B7F04">
      <w:pPr>
        <w:tabs>
          <w:tab w:val="left" w:pos="12333"/>
          <w:tab w:val="left" w:pos="12900"/>
        </w:tabs>
        <w:spacing w:after="0"/>
        <w:ind w:left="-426" w:right="-291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6041" w:rsidRPr="00F91190" w:rsidRDefault="00B16041" w:rsidP="006B7F04">
      <w:pPr>
        <w:tabs>
          <w:tab w:val="left" w:pos="12333"/>
          <w:tab w:val="left" w:pos="12900"/>
        </w:tabs>
        <w:spacing w:after="0"/>
        <w:ind w:left="-426" w:right="-291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Pr="000901A1" w:rsidRDefault="005F7A9D" w:rsidP="000C5895">
      <w:pPr>
        <w:tabs>
          <w:tab w:val="left" w:pos="12333"/>
          <w:tab w:val="left" w:pos="12900"/>
        </w:tabs>
        <w:spacing w:after="0"/>
        <w:ind w:left="-426" w:right="-29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F7A9D" w:rsidRPr="000901A1" w:rsidSect="007F2CC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F91190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управления образования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0C589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С.В. Дмитрова</w:t>
      </w:r>
    </w:p>
    <w:p w:rsidR="005F7A9D" w:rsidRDefault="005F7A9D" w:rsidP="00D0302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>С приказом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</w:p>
    <w:p w:rsidR="005F7A9D" w:rsidRPr="0009374E" w:rsidRDefault="005F7A9D" w:rsidP="00D030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03024">
        <w:rPr>
          <w:rFonts w:ascii="Times New Roman" w:hAnsi="Times New Roman" w:cs="Times New Roman"/>
          <w:sz w:val="24"/>
          <w:szCs w:val="24"/>
          <w:lang w:val="ru-RU"/>
        </w:rPr>
        <w:t xml:space="preserve"> 10.01.2025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D0302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ознакомлены:</w:t>
      </w:r>
    </w:p>
    <w:p w:rsidR="005F7A9D" w:rsidRPr="0009374E" w:rsidRDefault="005F7A9D" w:rsidP="00D03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4535"/>
        <w:gridCol w:w="2551"/>
      </w:tblGrid>
      <w:tr w:rsidR="00D03024" w:rsidRPr="0009374E" w:rsidTr="00D03024">
        <w:trPr>
          <w:trHeight w:val="340"/>
        </w:trPr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D03024" w:rsidRPr="0009374E" w:rsidTr="00D03024">
        <w:trPr>
          <w:trHeight w:val="113"/>
        </w:trPr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</w:tr>
      <w:tr w:rsidR="00D03024" w:rsidRPr="0009374E" w:rsidTr="00D03024">
        <w:trPr>
          <w:trHeight w:val="340"/>
        </w:trPr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Юрченко О.А.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</w:tr>
    </w:tbl>
    <w:p w:rsidR="00DA535F" w:rsidRDefault="00DA535F" w:rsidP="00341827"/>
    <w:sectPr w:rsidR="00DA535F" w:rsidSect="00CB217D">
      <w:headerReference w:type="even" r:id="rId25"/>
      <w:headerReference w:type="default" r:id="rId26"/>
      <w:headerReference w:type="first" r:id="rId2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83" w:rsidRDefault="00AD4C83">
      <w:pPr>
        <w:spacing w:after="0" w:line="240" w:lineRule="auto"/>
      </w:pPr>
      <w:r>
        <w:separator/>
      </w:r>
    </w:p>
  </w:endnote>
  <w:endnote w:type="continuationSeparator" w:id="0">
    <w:p w:rsidR="00AD4C83" w:rsidRDefault="00AD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7376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7376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7376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83" w:rsidRDefault="00AD4C83">
      <w:pPr>
        <w:spacing w:after="0" w:line="240" w:lineRule="auto"/>
      </w:pPr>
      <w:r>
        <w:separator/>
      </w:r>
    </w:p>
  </w:footnote>
  <w:footnote w:type="continuationSeparator" w:id="0">
    <w:p w:rsidR="00AD4C83" w:rsidRDefault="00AD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AD4C8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5" o:spid="_x0000_s2050" type="#_x0000_t136" style="position:absolute;margin-left:0;margin-top:0;width:439.35pt;height:219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AD4C8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6" o:spid="_x0000_s2051" type="#_x0000_t136" style="position:absolute;margin-left:0;margin-top:0;width:439.35pt;height:219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AD4C8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4" o:spid="_x0000_s2049" type="#_x0000_t136" style="position:absolute;margin-left:0;margin-top:0;width:439.35pt;height:219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D0" w:rsidRDefault="00AD4C83">
    <w:pPr>
      <w:rPr>
        <w:sz w:val="2"/>
        <w:szCs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8" o:spid="_x0000_s2053" type="#_x0000_t136" style="position:absolute;margin-left:0;margin-top:0;width:439.35pt;height:219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  <w:r w:rsidR="008E0257"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AD4E4AB" wp14:editId="0455530F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8E0257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4"/>
                              <w:rFonts w:eastAsiaTheme="minorEastAsia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AD4E4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8E0257">
                    <w:pPr>
                      <w:spacing w:line="240" w:lineRule="auto"/>
                    </w:pPr>
                    <w:r w:rsidRPr="0009374E">
                      <w:rPr>
                        <w:rStyle w:val="a4"/>
                        <w:rFonts w:eastAsiaTheme="minorEastAsia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AD4C8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9" o:spid="_x0000_s2054" type="#_x0000_t136" style="position:absolute;margin-left:0;margin-top:0;width:439.35pt;height:219.6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61" w:rsidRDefault="00AD4C83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7" o:spid="_x0000_s2052" type="#_x0000_t136" style="position:absolute;margin-left:0;margin-top:0;width:439.35pt;height:219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32C6"/>
    <w:multiLevelType w:val="hybridMultilevel"/>
    <w:tmpl w:val="18E8B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B26CF2"/>
    <w:multiLevelType w:val="hybridMultilevel"/>
    <w:tmpl w:val="84F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5620A"/>
    <w:multiLevelType w:val="hybridMultilevel"/>
    <w:tmpl w:val="2DE6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13B2"/>
    <w:multiLevelType w:val="hybridMultilevel"/>
    <w:tmpl w:val="B914D40E"/>
    <w:lvl w:ilvl="0" w:tplc="65BC4ED6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9D"/>
    <w:rsid w:val="000445FB"/>
    <w:rsid w:val="000C5895"/>
    <w:rsid w:val="001A2457"/>
    <w:rsid w:val="001F6486"/>
    <w:rsid w:val="00207680"/>
    <w:rsid w:val="002666A9"/>
    <w:rsid w:val="0027105C"/>
    <w:rsid w:val="002A51F5"/>
    <w:rsid w:val="00320FDA"/>
    <w:rsid w:val="00330243"/>
    <w:rsid w:val="00341827"/>
    <w:rsid w:val="003C332D"/>
    <w:rsid w:val="004C36DC"/>
    <w:rsid w:val="004D036F"/>
    <w:rsid w:val="004E394E"/>
    <w:rsid w:val="004F2E02"/>
    <w:rsid w:val="005D18A4"/>
    <w:rsid w:val="005F7A9D"/>
    <w:rsid w:val="00671654"/>
    <w:rsid w:val="006B7F04"/>
    <w:rsid w:val="00737661"/>
    <w:rsid w:val="007F2CC3"/>
    <w:rsid w:val="008E0257"/>
    <w:rsid w:val="00AD4C83"/>
    <w:rsid w:val="00B16041"/>
    <w:rsid w:val="00C70B66"/>
    <w:rsid w:val="00C93B6B"/>
    <w:rsid w:val="00D03024"/>
    <w:rsid w:val="00D46C76"/>
    <w:rsid w:val="00DA535F"/>
    <w:rsid w:val="00ED2BD4"/>
    <w:rsid w:val="00F64A5A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9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"/>
    <w:basedOn w:val="a0"/>
    <w:rsid w:val="005F7A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320F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0FD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827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661"/>
    <w:rPr>
      <w:rFonts w:eastAsiaTheme="minorEastAsia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661"/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9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"/>
    <w:basedOn w:val="a0"/>
    <w:rsid w:val="005F7A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320F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0FD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827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661"/>
    <w:rPr>
      <w:rFonts w:eastAsiaTheme="minorEastAsia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661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dytsimf.crimeaschool.ru/matematika" TargetMode="External"/><Relationship Id="rId18" Type="http://schemas.openxmlformats.org/officeDocument/2006/relationships/hyperlink" Target="https://cdytsimf.crimeaschool.ru/mo" TargetMode="External"/><Relationship Id="rId26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dytsimf.crimeaschool.ru/matematika" TargetMode="External"/><Relationship Id="rId17" Type="http://schemas.openxmlformats.org/officeDocument/2006/relationships/hyperlink" Target="https://cdytsimf.crimeaschool.ru/mrmo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cdytsimf.crimeaschool.ru/finansovaya_gramotnost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dytsimf.crimeaschool.ru/matematika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dytsimf.crimeaschool.ru/materialy_rmo_shmu_sp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https://krippo.ru/index.php/v-pomoshch-uchitelyu/v-pomosh-ychitelu/14-moduli/2190-funktsionalnaya-gramotnos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dytsimf.crimeaschool.ru/materialy_rmo_shmu_sp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USER</cp:lastModifiedBy>
  <cp:revision>10</cp:revision>
  <cp:lastPrinted>2025-01-23T14:10:00Z</cp:lastPrinted>
  <dcterms:created xsi:type="dcterms:W3CDTF">2025-01-14T11:39:00Z</dcterms:created>
  <dcterms:modified xsi:type="dcterms:W3CDTF">2025-01-23T14:41:00Z</dcterms:modified>
</cp:coreProperties>
</file>