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9D" w:rsidRPr="005F7A9D" w:rsidRDefault="005F7A9D" w:rsidP="005F7A9D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5F7A9D" w:rsidRPr="005F7A9D" w:rsidRDefault="005F7A9D" w:rsidP="005F7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5F7A9D" w:rsidRPr="005F7A9D" w:rsidRDefault="005F7A9D" w:rsidP="005F7A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F7A9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55BCF1C" wp14:editId="0E256155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3" name="Рисунок 3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A9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13AC88" wp14:editId="4CCEAF27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4" name="Рисунок 4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A9D" w:rsidRPr="005F7A9D" w:rsidRDefault="005F7A9D" w:rsidP="005F7A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5F7A9D" w:rsidRPr="005F7A9D" w:rsidRDefault="005F7A9D" w:rsidP="005F7A9D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7A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СИМФЕРОПОЛЬСКОГО РАЙОНА</w:t>
      </w: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A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КРЫМ</w:t>
      </w: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F7A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УПРАВЛЕНИЕ ОБРАЗОВАНИЯ</w:t>
      </w: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5F7A9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ПРИКАЗ</w:t>
      </w:r>
    </w:p>
    <w:p w:rsidR="005F7A9D" w:rsidRPr="00E661FA" w:rsidRDefault="005F7A9D" w:rsidP="005F7A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7A9D" w:rsidRPr="000D6A2E" w:rsidRDefault="008E0257" w:rsidP="00D03024">
      <w:pPr>
        <w:spacing w:after="0" w:line="240" w:lineRule="auto"/>
        <w:ind w:right="-29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F7A9D">
        <w:rPr>
          <w:rFonts w:ascii="Times New Roman" w:hAnsi="Times New Roman" w:cs="Times New Roman"/>
          <w:sz w:val="24"/>
          <w:szCs w:val="24"/>
          <w:lang w:val="ru-RU"/>
        </w:rPr>
        <w:t>.01.</w:t>
      </w:r>
      <w:r w:rsidR="005F7A9D" w:rsidRPr="00E661FA">
        <w:rPr>
          <w:rFonts w:ascii="Times New Roman" w:hAnsi="Times New Roman" w:cs="Times New Roman"/>
          <w:sz w:val="24"/>
          <w:szCs w:val="24"/>
        </w:rPr>
        <w:t>20</w:t>
      </w:r>
      <w:r w:rsidR="001A2457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5F7A9D" w:rsidRPr="00E661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 w:rsidRPr="00E661FA">
        <w:rPr>
          <w:rFonts w:ascii="Times New Roman" w:hAnsi="Times New Roman" w:cs="Times New Roman"/>
          <w:sz w:val="24"/>
          <w:szCs w:val="24"/>
        </w:rPr>
        <w:tab/>
      </w:r>
      <w:r w:rsidR="005F7A9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5F7A9D">
        <w:rPr>
          <w:rFonts w:ascii="Times New Roman" w:hAnsi="Times New Roman" w:cs="Times New Roman"/>
          <w:sz w:val="24"/>
          <w:szCs w:val="24"/>
          <w:lang w:val="ru-RU"/>
        </w:rPr>
        <w:t>г.Симферополь</w:t>
      </w:r>
      <w:proofErr w:type="spellEnd"/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F7A9D" w:rsidRPr="00E661FA">
        <w:rPr>
          <w:rFonts w:ascii="Times New Roman" w:hAnsi="Times New Roman" w:cs="Times New Roman"/>
          <w:sz w:val="24"/>
          <w:szCs w:val="24"/>
        </w:rPr>
        <w:t>№</w:t>
      </w:r>
      <w:r w:rsidR="001A2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</w:p>
    <w:p w:rsidR="005F7A9D" w:rsidRPr="003377C2" w:rsidRDefault="005F7A9D" w:rsidP="005F7A9D">
      <w:pPr>
        <w:spacing w:after="0" w:line="240" w:lineRule="auto"/>
        <w:ind w:left="426" w:right="-291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5F7A9D" w:rsidRDefault="005F7A9D" w:rsidP="00D03024">
      <w:pPr>
        <w:spacing w:after="0"/>
        <w:ind w:right="-291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итогах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proofErr w:type="spellStart"/>
      <w:r w:rsidRPr="00953EBE">
        <w:rPr>
          <w:rFonts w:ascii="Times New Roman" w:hAnsi="Times New Roman" w:cs="Times New Roman"/>
          <w:bCs/>
          <w:iCs/>
          <w:sz w:val="24"/>
          <w:szCs w:val="24"/>
        </w:rPr>
        <w:t>повышению</w:t>
      </w:r>
      <w:proofErr w:type="spellEnd"/>
      <w:r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53EBE">
        <w:rPr>
          <w:rFonts w:ascii="Times New Roman" w:hAnsi="Times New Roman" w:cs="Times New Roman"/>
          <w:bCs/>
          <w:iCs/>
          <w:sz w:val="24"/>
          <w:szCs w:val="24"/>
        </w:rPr>
        <w:t>функциональной</w:t>
      </w:r>
      <w:proofErr w:type="spellEnd"/>
      <w:r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53EBE">
        <w:rPr>
          <w:rFonts w:ascii="Times New Roman" w:hAnsi="Times New Roman" w:cs="Times New Roman"/>
          <w:bCs/>
          <w:iCs/>
          <w:sz w:val="24"/>
          <w:szCs w:val="24"/>
        </w:rPr>
        <w:t>грамотности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5F7A9D" w:rsidRDefault="005F7A9D" w:rsidP="00D03024">
      <w:pPr>
        <w:spacing w:after="0"/>
        <w:ind w:left="426" w:right="-291" w:hanging="426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Симферопольском районе за 1 полугодие 2023/2024 учебного года</w:t>
      </w:r>
    </w:p>
    <w:p w:rsidR="005F7A9D" w:rsidRDefault="005F7A9D" w:rsidP="006B7F04">
      <w:pPr>
        <w:spacing w:after="0"/>
        <w:ind w:left="-426" w:right="-291" w:firstLine="568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7F2CC3" w:rsidRDefault="00F64A5A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 исполнение письма</w:t>
      </w:r>
      <w:r w:rsidRPr="00F64A5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Министерства просвещения Российской Федерации от 14.09.2021 № 03-1510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64A5A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«Об организации работы по повышению функциональной грамотности»,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F7A9D" w:rsidRP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приказа Министерства образования, науки и молодё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жи Республики Крым от 08.10.2024 № 1561</w:t>
      </w:r>
      <w:r w:rsidR="005F7A9D" w:rsidRP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«Об организации работы по повышен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ию функциональной грамотности», 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приказов упра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вления образования от 26.08.2024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№ 777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 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утверждении  Плана мероприятий («Дорожная карта») по формированию и оценке функциональной грамотности обучающихся общеобр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азовательных организаций на 2024/2025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учебный год»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от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15.10.2024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№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993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r w:rsidR="005F7A9D" w:rsidRPr="000D6DC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 утверждении Положения о системе работы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формированию функциональной </w:t>
      </w:r>
      <w:r w:rsidR="005F7A9D" w:rsidRPr="000D6DC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грамотности обучающихся общеобразовательных учреждений  Симферопольского района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2024/2025 учебный год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в течение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1 полугодия 2024/2025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учебного года проводилась системная и целенаправленная работа</w:t>
      </w:r>
      <w:r w:rsidR="005F7A9D" w:rsidRPr="00BA6149">
        <w:t xml:space="preserve"> 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формированию и оценке функциональной грамотности обучающихся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педагогов 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общеобразовательных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учреждений.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D46C76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 </w:t>
      </w:r>
      <w:r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сайте МБОУ ДО «ЦДЮТ»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создан раздел </w:t>
      </w:r>
      <w:r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«Функциональная грамотность»,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где </w:t>
      </w:r>
      <w:r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размещены </w:t>
      </w:r>
      <w:r w:rsidR="007F2CC3"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все региональные и муниципальные приказы на 2024/2025 учебный год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; </w:t>
      </w:r>
      <w:r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банк заданий для формирования функциональной грамотности обучающихся основной школ</w:t>
      </w:r>
      <w:r w:rsidR="007F2CC3"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ы (5-9 классы) по направлениям: </w:t>
      </w:r>
      <w:r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читательская грамотность, математическая грамотность, естественнонаучная грам</w:t>
      </w:r>
      <w:r w:rsidR="007F2CC3"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отность,</w:t>
      </w:r>
      <w:r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 финансовая грамотность, креативное мышление</w:t>
      </w:r>
      <w:r w:rsidR="007F2CC3" w:rsidRPr="004F2E02">
        <w:rPr>
          <w:highlight w:val="green"/>
        </w:rPr>
        <w:t xml:space="preserve"> и </w:t>
      </w:r>
      <w:r w:rsidR="007F2CC3"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глобальные компетенции</w:t>
      </w:r>
      <w:r w:rsidRPr="004F2E02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; электронный банк заданий для оценки функциональной грамотности для обучающихся и учителей; открытый банк заданий для оценки естественнонаучной грамотности (7-9 классы).</w:t>
      </w:r>
      <w:bookmarkStart w:id="0" w:name="_GoBack"/>
      <w:bookmarkEnd w:id="0"/>
    </w:p>
    <w:p w:rsidR="001F6486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 целью функционирования информационного блока «Функциональная грамотность» на сайтах общеобразовательных организаций; изучения наполнения контента раздела сайтов по вопросам формирования функциональной г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рамотности; наличия публикаций 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методических материалов для работы по повышению качества функциональной грамотности в общеобразовательных организациях был проведен мониторинг информационного блока «Функциональная грамотность» на сайтах общеобразовательных организаций.   В ходе мониторинга выявлено, что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42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общеобразовательн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ых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ях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функционирует информационный блок «Функциональная грамотность».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F6486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На предмет достаточного наполнения контента раздела сайтов по вопросам формирования функциональной грамотности 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наличия региональных, муниципальных и школьных документов на 2024/2025 учебный год был осуществлен мониторинг сайтов МБОУ 10.01</w:t>
      </w:r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.2025. Следует отметить 5 </w:t>
      </w:r>
      <w:proofErr w:type="spellStart"/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МБОУ</w:t>
      </w:r>
      <w:proofErr w:type="gramStart"/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: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gram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Гвардейская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№ 3»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1F6486" w:rsidRPr="001F6486">
        <w:t xml:space="preserve">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«Донская школа 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им.В.П.Давиденко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1F6486" w:rsidRPr="001F6486">
        <w:t xml:space="preserve">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1 им. 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Авраамова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Г.Н.»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Новоселовская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Трудовская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имеют всю необходимую информацию.</w:t>
      </w:r>
    </w:p>
    <w:p w:rsidR="001F6486" w:rsidRDefault="001F6486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Нет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наличия региональных, муниципальных и школьных документов на 2024/2025 учебный год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20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МБОУ: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Добровская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Я.М.Слонимского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Денисовская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Журавлевская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№2 с 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ымскотатарским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языком обучения»,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«Константиновская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«Лицей Крымской весны»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t>,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«Николаевская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ED2BD4" w:rsidRPr="00ED2BD4"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«Перовская школа-гимназия им. 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Г.А.Хачирашвили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«Пожарская школа»</w:t>
      </w:r>
      <w:r w:rsidR="00ED2BD4">
        <w:t xml:space="preserve">, </w:t>
      </w:r>
      <w:r w:rsidR="00ED2BD4" w:rsidRPr="00ED2B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2BD4" w:rsidRPr="00ED2BD4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ED2BD4" w:rsidRPr="00ED2BD4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ED2BD4" w:rsidRPr="00ED2BD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ED2BD4" w:rsidRPr="00ED2BD4">
        <w:rPr>
          <w:rFonts w:ascii="Times New Roman" w:hAnsi="Times New Roman" w:cs="Times New Roman"/>
          <w:sz w:val="24"/>
          <w:szCs w:val="24"/>
        </w:rPr>
        <w:t>. Ф.И.Федоренко»</w:t>
      </w:r>
      <w:r w:rsidR="00ED2BD4" w:rsidRPr="00ED2B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2BD4" w:rsidRPr="00ED2BD4">
        <w:rPr>
          <w:rFonts w:ascii="Times New Roman" w:hAnsi="Times New Roman" w:cs="Times New Roman"/>
          <w:sz w:val="24"/>
          <w:szCs w:val="24"/>
        </w:rPr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азия»,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Скворцовская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ED2BD4"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Трёхпрудненская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им.К.Д.Ушинского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ED2BD4">
        <w:t xml:space="preserve">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«Украинская школа»</w:t>
      </w:r>
      <w:r w:rsidR="00ED2BD4">
        <w:t xml:space="preserve">, 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Чайкинская</w:t>
      </w:r>
      <w:proofErr w:type="spellEnd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Чистенская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</w:t>
      </w:r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кола-гимназия им </w:t>
      </w:r>
      <w:proofErr w:type="spellStart"/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И.С.Тарасюка</w:t>
      </w:r>
      <w:proofErr w:type="spellEnd"/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»,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1F6486" w:rsidRDefault="00ED2BD4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МБОУ «</w:t>
      </w:r>
      <w:proofErr w:type="spellStart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Мирновская</w:t>
      </w:r>
      <w:proofErr w:type="spellEnd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1 им. </w:t>
      </w:r>
      <w:proofErr w:type="spellStart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Н.Н.Белова</w:t>
      </w:r>
      <w:proofErr w:type="spellEnd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C70B6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до сих пор не предоставило данные о школьном кураторе ФГ 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активную ссылку на раздел «Функциональная грамотность» на сайте школы.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исполнение приказов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от 01.10.2024 № 921 «О проведении Недели функциональной грамотности обучающихся в 9-х классах общеобразовательных организаций на 2024/2025 учебный год» и от 12.11.2024 № 1117 «О проведении Недели функциональной грамотности обучающихся  8-х классов общеобразовательных организаций на 2024/2025 учебный год» с целью выполнения мероприятий по выстраиванию  муниципальной системы оценки качества на основе практики международных сравнительных исследований в 9-х и 8-х классах общеобразовательных учреждений  района с 11.11.2024 по 18.11.2024   и с 02.12.2024 по 10.12.2024, соответственно,   были проведены Недели функциональной грамотности по 6 направлениям: читательская грамотность; математическая грамотность; естественно-научная грамотность; финансовая грамотность; креативное мышление и глобальные компетенции с целью выявления уровня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функциональной грамотности у учащихся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стандартами.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D46C76" w:rsidRPr="00D46C76" w:rsidRDefault="00D46C76" w:rsidP="006B7F04">
      <w:pPr>
        <w:shd w:val="clear" w:color="auto" w:fill="FFFFFF"/>
        <w:spacing w:after="0"/>
        <w:ind w:left="-426" w:firstLine="56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«Читательская грамотность» 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приняли участие учащиеся 9-х и 8-х классов из 40 ОУ Симферопольского района и все участника мониторинга справились со всеми заданиями (100%). У учащихся 9-х и 8-х классов </w:t>
      </w:r>
      <w:proofErr w:type="spellStart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умения сформированы на среднем уровне.</w:t>
      </w:r>
    </w:p>
    <w:p w:rsidR="00D46C76" w:rsidRPr="00D46C76" w:rsidRDefault="00D46C76" w:rsidP="006B7F04">
      <w:pPr>
        <w:shd w:val="clear" w:color="auto" w:fill="FFFFFF"/>
        <w:spacing w:after="0"/>
        <w:ind w:left="-426" w:firstLine="56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«Математическая грамотность»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принимали участие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учащиеся 9-х и 8-х классов из 40 ОУ Симферопольского района.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 учащихся 9-х и 8-х классов уровень освоения основных компетенций, определяющих </w:t>
      </w:r>
      <w:proofErr w:type="spellStart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математической грамотности - средний и ниже.</w:t>
      </w:r>
    </w:p>
    <w:p w:rsidR="00D46C76" w:rsidRPr="00D46C76" w:rsidRDefault="00D46C76" w:rsidP="006B7F04">
      <w:pPr>
        <w:shd w:val="clear" w:color="auto" w:fill="FFFFFF"/>
        <w:spacing w:after="0"/>
        <w:ind w:left="-426" w:firstLine="56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«Естественнонаучной грамотность»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принимали участие 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учащиеся 9-х и 8-х классов из 40 ОУ Симферопольского района.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Анализ полученных результатов свидетельствуют об уровне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естественнонаучной функциональной грамотности на среднем уровне - 60,4% от всех учащихся, принявших участие в мониторинге.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«Финансовая грамотность»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 участие учащиеся 9-х и 8-х классов из 37 МБОУ Симферопольского района. Средний процент выполнения всех заданий мониторинга составил - 59%. Уровень освоения основных компетенций, определяющих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финансовой грамотности - средний в сторону повышения.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«Креативное мышление»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участие обучающиеся 9-х и 8-х 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классов из 38 школы Симферопольского района.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анализа итогов мониторинга креативное мышление сформировано у 28% детей, не сформировано у 23%. 49% обучающихся имеют средний уровень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КМ.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«Глобальные компетенции»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 участие обучающиеся 9-х и 8-х классов из 38 школы Симферопольского района.</w:t>
      </w:r>
    </w:p>
    <w:p w:rsidR="00D46C76" w:rsidRDefault="00D46C76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Успешность выполнения заданий в среднем по району составила 55%.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D46C76" w:rsidRDefault="00D46C76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Говоря об отчётности и исполнительской дисциплине предоставления отчётов по направлениям, необходимо отметить недобросовестное отношение школьных координат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ров проекта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– несвоевременная сдача отчётов, 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недоброс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овестное заполнение отчётов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B16041" w:rsidRDefault="00B16041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Говоря об участии школ Симферопольского района в формировании ФГ на платформе РЭШ, стоит отметить постоянных участников: «Гвардейская школа-гимназия № 2», «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Мазанская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школа», «Партизанская школа им. 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А.П.Богданова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»,</w:t>
      </w:r>
      <w:r w:rsid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«</w:t>
      </w:r>
      <w:proofErr w:type="spellStart"/>
      <w:r w:rsid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Родниковская</w:t>
      </w:r>
      <w:proofErr w:type="spellEnd"/>
      <w:r w:rsid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школа-гимназия»,</w:t>
      </w:r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«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Урожайновская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 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им.К.В.Варлыгина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». Доля обучающихся по общеобразовательным программам основного общего образования, достигших установленного базового значения функциональной грамотности, от общей численности обучающихся, прошедших тестирование по функциональной грамотности (8 и 9 классов), % составляет от 71% до 98%.</w:t>
      </w:r>
    </w:p>
    <w:p w:rsidR="00D46C76" w:rsidRDefault="005F7A9D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</w:t>
      </w:r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овышение уровня функциональной грамотности учащихся может быть обеспечено успешной реализацией ФГОС, т.е. за счет достижения планируемых предметных, </w:t>
      </w:r>
      <w:proofErr w:type="spellStart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метапредметных</w:t>
      </w:r>
      <w:proofErr w:type="spellEnd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личностных результатов, если в учебном процессе реализован комплексный системно-</w:t>
      </w:r>
      <w:proofErr w:type="spellStart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деятельностный</w:t>
      </w:r>
      <w:proofErr w:type="spellEnd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подход, если процесс усвоения идет как процесс решения учащимися различных классов задач, задач на применение или перенос тех знаний и тех умений, которые учитель формирует.</w:t>
      </w:r>
      <w:proofErr w:type="gramEnd"/>
      <w:r w:rsidR="004E39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Достигнуть высоких результатов можно только в случае грамотно построенного учебно-воспитательного процесса с привлечением всех его участников</w:t>
      </w:r>
      <w:r w:rsidR="00D46C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320FDA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3ED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Методистами МБОУ ДО «ЦДЮТ» проводится систематическая работа по повышению фу</w:t>
      </w:r>
      <w:r w:rsidR="00D46C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нкциональной грамотности педагогов</w:t>
      </w:r>
      <w:r w:rsidRPr="00D13ED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 </w:t>
      </w:r>
    </w:p>
    <w:p w:rsidR="00320FDA" w:rsidRPr="006B7F04" w:rsidRDefault="00320FDA" w:rsidP="006B7F04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РМО учителей математики, 27.08.2024. При рассмотрении вопроса №3 «Особенности преподавания предмета в 2024-2025 учебном году» рассматривался блок, посвященный формированию ФГ с указанием информационных ресурсов (</w:t>
      </w:r>
      <w:hyperlink r:id="rId10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https://krippo.ru/index.php/v-pomoshch-uchitelyu/v-pomosh-ychitelu/14-moduli/2190-funktsionalnaya-gramotnost</w:t>
        </w:r>
      </w:hyperlink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), </w:t>
      </w:r>
      <w:hyperlink r:id="rId11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https://cdytsimf.crimeaschool.ru/matematika</w:t>
        </w:r>
      </w:hyperlink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а так же с анализом мониторингов по формированию ФГ в основной школе.</w:t>
      </w:r>
    </w:p>
    <w:p w:rsidR="00320FDA" w:rsidRPr="006B7F04" w:rsidRDefault="00320FDA" w:rsidP="006B7F04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РМО учителей математики, 14.10.2024 по теме «Формирование и оценка ФГ на уроках математики как инструмент по подготовке к ГИА» на базе МБОУ «</w:t>
      </w:r>
      <w:proofErr w:type="spellStart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Кольчугинская</w:t>
      </w:r>
      <w:proofErr w:type="spellEnd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 №2 с </w:t>
      </w:r>
      <w:proofErr w:type="spellStart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крымскотатарским</w:t>
      </w:r>
      <w:proofErr w:type="spellEnd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языком обучения». </w:t>
      </w:r>
      <w:hyperlink r:id="rId12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https://cdytsimf.crimeaschool.ru/matematika</w:t>
        </w:r>
      </w:hyperlink>
    </w:p>
    <w:p w:rsidR="00320FDA" w:rsidRPr="006B7F04" w:rsidRDefault="00320FDA" w:rsidP="006B7F04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Были рассмотрены фрагменты уроков и практических занятий: </w:t>
      </w:r>
    </w:p>
    <w:p w:rsidR="00320FDA" w:rsidRDefault="00320FDA" w:rsidP="006B7F04">
      <w:pPr>
        <w:pStyle w:val="a5"/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DA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Применение функциональной грамотности на уроках математики 6 класса. Расчет стоимости салата Оливье</w:t>
      </w:r>
    </w:p>
    <w:p w:rsidR="00320FDA" w:rsidRDefault="00320FDA" w:rsidP="000C5895">
      <w:pPr>
        <w:pStyle w:val="a5"/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Практико-ориентированные задачи на </w:t>
      </w:r>
      <w:r w:rsidRPr="00320FD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ОГЭ-9 класс</w:t>
      </w:r>
    </w:p>
    <w:p w:rsidR="00320FDA" w:rsidRDefault="00320FDA" w:rsidP="000C5895">
      <w:pPr>
        <w:pStyle w:val="a5"/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D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Применение функциональной грамотности на уроках математики 8 класса.</w:t>
      </w:r>
    </w:p>
    <w:p w:rsidR="00320FDA" w:rsidRPr="006B7F04" w:rsidRDefault="00320FDA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На сайте МБОУ ДО «ЦДЮТ» размещены материалы по формированию функциональной грамотности по математике: </w:t>
      </w:r>
      <w:hyperlink r:id="rId13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https://cdytsimf.crimeaschool.ru/matematika</w:t>
        </w:r>
      </w:hyperlink>
    </w:p>
    <w:p w:rsidR="00320FDA" w:rsidRPr="006B7F04" w:rsidRDefault="00320FDA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Семинар-практикум учителей английского языка 25.11.2024 по теме «Читательская грамотность на уроке английского языка: стратегии и алгоритм работы с текстом» </w:t>
      </w:r>
      <w:hyperlink r:id="rId14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https://cdytsimf.crimeaschool.ru/materialy_rmo_shmu_sp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320FDA" w:rsidRPr="006B7F04" w:rsidRDefault="00320FDA" w:rsidP="000C5895">
      <w:pPr>
        <w:spacing w:after="0"/>
        <w:ind w:left="-426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Мастер-класс учителей английского языка 16.12.2024 по теме «Образовательный веб-</w:t>
      </w:r>
      <w:proofErr w:type="spellStart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квест</w:t>
      </w:r>
      <w:proofErr w:type="spellEnd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как способ формирования функциональной грамотности на уроках английского языка»</w:t>
      </w:r>
      <w:r w:rsidRPr="00320FDA">
        <w:t xml:space="preserve"> </w:t>
      </w:r>
      <w:hyperlink r:id="rId15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https://cdytsimf.crimeaschool.ru/materialy_rmo_shmu_sp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</w:p>
    <w:p w:rsidR="00320FDA" w:rsidRPr="006B7F04" w:rsidRDefault="00C93B6B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РМО учителей географии 22.08.2024 по теме «Знакомство педагогов с Единой рамкой компетенций по финансовой грамотности» </w:t>
      </w:r>
      <w:hyperlink r:id="rId16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https://cdytsimf.crimeaschool.ru/finansovaya_gramotnost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C93B6B" w:rsidRPr="006B7F04" w:rsidRDefault="00C93B6B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РМО учителей географии 19.12.2024 по теме «Интегрированный урок как средство формирования </w:t>
      </w:r>
      <w:proofErr w:type="spellStart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межпредметных</w:t>
      </w:r>
      <w:proofErr w:type="spellEnd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компетенций учащихся. Организация наставничества по повышению компетенций учителя географии в области формирования и оценивания функциональной (в том числе – финансовой) грамотности обучающихся» </w:t>
      </w:r>
      <w:hyperlink r:id="rId17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https://cdytsimf.crimeaschool.ru/mrmo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330243" w:rsidRDefault="00330243" w:rsidP="000C5895">
      <w:pPr>
        <w:pStyle w:val="a5"/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ШМУ по биологии и физике по теме «Формирование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естественно-научной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грамотности на уроках биологии и физики» </w:t>
      </w:r>
      <w:hyperlink r:id="rId18" w:history="1">
        <w:r w:rsidRPr="00B0477C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https://cdytsimf.crimeaschool.ru/mo</w:t>
        </w:r>
      </w:hyperlink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320FDA" w:rsidRPr="006B7F04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Тематические выезды по теме «Формирование естественно-научной и финансовой грамотности учащихся на уроках географии»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4C36DC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Разработаны методические рекомендации по вопросам формирования и оц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енки функциональной грамотности. 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Были проведены инструктивно-методические совещания с заместит</w:t>
      </w:r>
      <w:r w:rsidR="004C36D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елями руководителя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вопросам «Организация работы по повыше</w:t>
      </w:r>
      <w:r w:rsidR="004C36D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нию функциональной грамотности </w:t>
      </w:r>
      <w:r w:rsid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Симферопольском районе на 2024/2025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учебный год».</w:t>
      </w:r>
    </w:p>
    <w:p w:rsidR="004C36DC" w:rsidRDefault="005F7A9D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Ежеквартально проводились 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заседани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рабочей группы, на котор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ых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были распределены функциональные обязаннос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ти каждого члена рабочей группы, 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рассматривался план работы по развитию функциональной грамотности по каждому направлению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заслушивались отчеты ответственных по шести направлениям.</w:t>
      </w:r>
    </w:p>
    <w:p w:rsidR="005F7A9D" w:rsidRPr="004C36DC" w:rsidRDefault="005F7A9D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 w:rsidRPr="000901A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еобходимо отметить, что большое значение в формировании функциональной грамотности школьников имеет сотрудничество учеников, учителей, родителей. Если не будет понимания и гармонии в отношениях, учебно-воспитательный процесс не будет результативным. Достигнуть высоких результатов можно только в случае грамотно построенного учебно-воспитательного процесса с привлечением всех его участников.</w:t>
      </w:r>
    </w:p>
    <w:p w:rsid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 основании проведенной работы по повышению уровня функциональной грамотности обучающихся и педагогов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общеобразовательных учреждений</w:t>
      </w:r>
      <w:r w:rsidRP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руководствуясь необходимостью дальн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ейшего развития компетенций, </w:t>
      </w:r>
    </w:p>
    <w:p w:rsid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30243" w:rsidRDefault="00330243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ПРИКАЗЫВАЮ:</w:t>
      </w:r>
    </w:p>
    <w:p w:rsid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30243" w:rsidRPr="004E394E" w:rsidRDefault="00330243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Признать работу по повыше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нию функциональной грамотности в Симферопольском районе за </w:t>
      </w:r>
      <w:r w:rsidR="00341827"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1 полугодие 2024/2025</w:t>
      </w: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 учебного года удовлетворительной</w:t>
      </w:r>
    </w:p>
    <w:p w:rsidR="00330243" w:rsidRPr="004E394E" w:rsidRDefault="00330243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Руководителям общеобразовательных учреждений:</w:t>
      </w:r>
    </w:p>
    <w:p w:rsidR="00330243" w:rsidRPr="004E394E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lastRenderedPageBreak/>
        <w:t>продолжить работу по формированию функциональной грамотности по всем направлениям.</w:t>
      </w:r>
    </w:p>
    <w:p w:rsidR="00330243" w:rsidRPr="004E394E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2.1. проанализировать итоги работы по повышению функциональной грамотности  </w:t>
      </w:r>
    </w:p>
    <w:p w:rsidR="00330243" w:rsidRPr="004E394E" w:rsidRDefault="00330243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                                                                                                                                  Январь,2025;</w:t>
      </w:r>
    </w:p>
    <w:p w:rsidR="00330243" w:rsidRPr="004E394E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2.2.организовать обучение педагогов на региональных/российских мероприятиях (курсах, другое) по повышению квалификации в указанном направлении. Обратить внимание на те мероприятия, в рамках которых педагоги сами обретают умения, проверяемые в международных исследованиях PISA, обучаются способам интерпретации и оценки текста</w:t>
      </w:r>
    </w:p>
    <w:p w:rsidR="00330243" w:rsidRPr="00330243" w:rsidRDefault="00330243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                                                                   в течени</w:t>
      </w:r>
      <w:proofErr w:type="gramStart"/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и</w:t>
      </w:r>
      <w:proofErr w:type="gramEnd"/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 2024/2025 учебного года.</w:t>
      </w:r>
    </w:p>
    <w:p w:rsidR="00B16041" w:rsidRDefault="005D18A4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Директорам МБОУ 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Добровская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Я.М.Слонимского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Никитчук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Е.В.)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Денисовская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(Иванушкина А.А.)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Журавлевская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Переведенцева</w:t>
      </w:r>
      <w:proofErr w:type="spellEnd"/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№2 с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крымскотатарским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языком обучения»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санова У.С.)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«Константиновская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Маршалок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«Лицей Крымской весны»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(Гончарова Н.Г.)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Мусинова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И.Ю.)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Хрыкина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С.Н.)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«Николаевская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(Бут Е.А.)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«Перовская школа-гимназия им.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Г.А.Хачирашвили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Крыжко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«Пожарская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(Берестюк Н.В.)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Перевальненская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Ф.И.Федоренко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(Борисенко Т.А.)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Тафийчку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Ю.Ю.)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Скворцовская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Дузенко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В.Г.)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Трёхпрудненская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кола-гимназия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им.К.Д.Ушинского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(Сафронова Е.Ш.), 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«Украинская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(Ткаченко Н.В.)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Чайкинская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Дамадаева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Чистенская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И.С.Тарасюка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Котолупова</w:t>
      </w:r>
      <w:proofErr w:type="spellEnd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Л.Г.)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Шипко</w:t>
      </w:r>
      <w:proofErr w:type="spellEnd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обеспечить </w:t>
      </w:r>
      <w:r w:rsidR="00B16041"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нап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олнение</w:t>
      </w:r>
      <w:r w:rsidR="00B16041"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контента раздела сайтов 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школ </w:t>
      </w:r>
      <w:r w:rsidR="00B16041"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вопросам формирования функциональной грамотности и наличия региональных, муниципальных и школьных документов на 2024/2025 учебный год </w:t>
      </w:r>
    </w:p>
    <w:p w:rsidR="00B16041" w:rsidRDefault="00B16041" w:rsidP="006B7F04">
      <w:pPr>
        <w:pStyle w:val="a5"/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Январь, 2025;</w:t>
      </w:r>
    </w:p>
    <w:p w:rsidR="00B16041" w:rsidRPr="00B16041" w:rsidRDefault="00B16041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Директорам МБОУ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Мусинова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Хрыкина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С.Н.),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Трудовская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Кибирева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Тепловская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Сеитвелиева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Э.У.),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2 с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крымскотатарским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языком обучения» (Асанова У.С.),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Тафийчук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Ю.Ю.),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Шипко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К.В.), «Перовская школа-гимназия им. Г.А.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Хачирашвили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Крыжко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Н.В.), «Партизанская школа им. А.П. Богданова» (Терещенко А.В.), «Винницкая школа» (Васильченко Я.Д.), «Украинская школа» (Ткаченко Н.В.), обучающиеся которых показали низкие результаты по итогам мониторинга ФГ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8х и 9х классах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6 направлениям, проанализировать причины низкой результативности участия в мониторинге, итоги заслушать на совещании при директоре </w:t>
      </w:r>
    </w:p>
    <w:p w:rsidR="00B16041" w:rsidRPr="00B16041" w:rsidRDefault="00B16041" w:rsidP="006B7F04">
      <w:pPr>
        <w:pStyle w:val="a5"/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Январь, 2025;</w:t>
      </w:r>
    </w:p>
    <w:p w:rsidR="00B16041" w:rsidRPr="004E394E" w:rsidRDefault="00B16041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Директорам МБОУ «Винницкая школа» (Васильченко Я.Д.), «Гвардейская школа № 1»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Шепченко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А.И.), «Гвардейская школа-гимназия № 2» (Богданова Е.В.), «Гвардейская школа-гимназия № 3» (Чванова Е.В.),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Добровская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Я.М.Слонимского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Никитчук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Е.В.), «Донская школа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им.В.П.Давиденко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(Мельник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Денисовская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(Иванушкина А.А.), «Константиновская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Маршалок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М.В.), «Кубанская школа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С.П.Королёва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Скуратовская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Мусинова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Хрыкина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С.Н.),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Мирновская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1» (Гуртовой А.А.),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Мирновская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2» (Мокрушина О.Н.),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Молодежненская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2» (Левицкая И.С.), «Николаевская школа» (Бут Е.А.),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Новоандреевская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В.А.Осипова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(Калугина И.Б.), «Перовская школа-гимназия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Г.А.Хачирашвили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Крыжко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Н.В.), «Первомайская школа» (Янковская Т.С.), «Пожарская школа» (Берестюк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Перевальненская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Ф.И.Федоренко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(Борисенко Т.А.),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Тафийчук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Ю.Ю.),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Скворцовская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Дузенко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В.Г.),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Тепловская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Сеитвелиева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Э.У.),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Трёхпрудненская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К.Д.Ушинский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(Сафронова Е.Ш.), </w:t>
      </w: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«Укромновская школа» (Сейтмамедова А.К.),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Урожайновская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К.В.Варлыгина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(Сидоренко В.Г.),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Чайкинская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Дамадаева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Шипко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К.В.), «Украинская школа» (Ткаченко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Кленовская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основная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Гарн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О.В.), </w:t>
      </w: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чьи школы не принимали участия в мониторингах по функциональной грамотности в 8х и 9х классах по тем или иным направлениям, несвоевременно предоставляли отчётность и достоверность данных  проанализировать причины отсутствия информации по участию школы и отчётности, и обеспечить участие в мониторингах по функциональной грамотности по всем направлениям и своевременную отчётную документацию в дальнейшем </w:t>
      </w:r>
    </w:p>
    <w:p w:rsidR="00B16041" w:rsidRPr="004E394E" w:rsidRDefault="00B16041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 xml:space="preserve">2024/2025 учебный год </w:t>
      </w:r>
    </w:p>
    <w:p w:rsidR="00B16041" w:rsidRPr="004E394E" w:rsidRDefault="00B16041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Директорам всех МБОУ Симферопольского района организовать работу в электронном банке заданий для оценки функциональной грамотности на платформе РЭШ</w:t>
      </w:r>
    </w:p>
    <w:p w:rsidR="00B16041" w:rsidRDefault="00B16041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E394E">
        <w:rPr>
          <w:rFonts w:ascii="Times New Roman" w:hAnsi="Times New Roman" w:cs="Times New Roman"/>
          <w:bCs/>
          <w:iCs/>
          <w:sz w:val="24"/>
          <w:szCs w:val="24"/>
          <w:highlight w:val="green"/>
          <w:lang w:val="ru-RU"/>
        </w:rPr>
        <w:t>2024/2025 учебный год.</w:t>
      </w:r>
    </w:p>
    <w:p w:rsidR="00B16041" w:rsidRPr="00B16041" w:rsidRDefault="005F7A9D" w:rsidP="006B7F04">
      <w:pPr>
        <w:pStyle w:val="a5"/>
        <w:numPr>
          <w:ilvl w:val="0"/>
          <w:numId w:val="4"/>
        </w:numPr>
        <w:spacing w:after="0"/>
        <w:ind w:left="-426" w:firstLine="56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16041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данного приказа во</w:t>
      </w:r>
      <w:r w:rsidR="00B16041" w:rsidRPr="00B16041">
        <w:rPr>
          <w:rFonts w:ascii="Times New Roman" w:hAnsi="Times New Roman" w:cs="Times New Roman"/>
          <w:sz w:val="24"/>
          <w:szCs w:val="24"/>
          <w:lang w:val="ru-RU"/>
        </w:rPr>
        <w:t>зложить на мет</w:t>
      </w:r>
      <w:r w:rsidR="00341827">
        <w:rPr>
          <w:rFonts w:ascii="Times New Roman" w:hAnsi="Times New Roman" w:cs="Times New Roman"/>
          <w:sz w:val="24"/>
          <w:szCs w:val="24"/>
          <w:lang w:val="ru-RU"/>
        </w:rPr>
        <w:t xml:space="preserve">одиста </w:t>
      </w:r>
      <w:r w:rsidR="00B16041" w:rsidRPr="00B16041">
        <w:rPr>
          <w:rFonts w:ascii="Times New Roman" w:hAnsi="Times New Roman" w:cs="Times New Roman"/>
          <w:sz w:val="24"/>
          <w:szCs w:val="24"/>
          <w:lang w:val="ru-RU"/>
        </w:rPr>
        <w:t>МБОУ ДО «ЦДЮТ»  Юрченко О.А.</w:t>
      </w:r>
    </w:p>
    <w:p w:rsidR="005F7A9D" w:rsidRPr="00B16041" w:rsidRDefault="00341827" w:rsidP="006B7F04">
      <w:pPr>
        <w:pStyle w:val="a5"/>
        <w:numPr>
          <w:ilvl w:val="0"/>
          <w:numId w:val="4"/>
        </w:numPr>
        <w:spacing w:after="0"/>
        <w:ind w:left="-426" w:firstLine="56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</w:t>
      </w:r>
      <w:r w:rsidR="005F7A9D" w:rsidRPr="00B16041">
        <w:rPr>
          <w:rFonts w:ascii="Times New Roman" w:hAnsi="Times New Roman" w:cs="Times New Roman"/>
          <w:sz w:val="24"/>
          <w:szCs w:val="24"/>
          <w:lang w:val="ru-RU"/>
        </w:rPr>
        <w:t xml:space="preserve">приказа возложить на директора МБОУ ДО «ЦДЮТ» Т.Н. </w:t>
      </w:r>
      <w:proofErr w:type="spellStart"/>
      <w:r w:rsidR="005F7A9D" w:rsidRPr="00B16041"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 w:rsidR="005F7A9D" w:rsidRPr="00B160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7A9D" w:rsidRDefault="005F7A9D" w:rsidP="006B7F04">
      <w:pPr>
        <w:tabs>
          <w:tab w:val="left" w:pos="12333"/>
          <w:tab w:val="left" w:pos="12900"/>
        </w:tabs>
        <w:spacing w:after="0"/>
        <w:ind w:left="-426" w:right="-291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6041" w:rsidRPr="00F91190" w:rsidRDefault="00B16041" w:rsidP="006B7F04">
      <w:pPr>
        <w:tabs>
          <w:tab w:val="left" w:pos="12333"/>
          <w:tab w:val="left" w:pos="12900"/>
        </w:tabs>
        <w:spacing w:after="0"/>
        <w:ind w:left="-426" w:right="-291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7A9D" w:rsidRPr="000901A1" w:rsidRDefault="005F7A9D" w:rsidP="000C5895">
      <w:pPr>
        <w:tabs>
          <w:tab w:val="left" w:pos="12333"/>
          <w:tab w:val="left" w:pos="12900"/>
        </w:tabs>
        <w:spacing w:after="0"/>
        <w:ind w:left="-426" w:right="-291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F7A9D" w:rsidRPr="000901A1" w:rsidSect="007F2CC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91190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управления образования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0C589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С.В. Дмитрова</w:t>
      </w:r>
    </w:p>
    <w:p w:rsidR="005F7A9D" w:rsidRDefault="005F7A9D" w:rsidP="00D030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>С приказом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</w:p>
    <w:p w:rsidR="005F7A9D" w:rsidRPr="0009374E" w:rsidRDefault="005F7A9D" w:rsidP="00D030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03024">
        <w:rPr>
          <w:rFonts w:ascii="Times New Roman" w:hAnsi="Times New Roman" w:cs="Times New Roman"/>
          <w:sz w:val="24"/>
          <w:szCs w:val="24"/>
          <w:lang w:val="ru-RU"/>
        </w:rPr>
        <w:t xml:space="preserve"> 10.01.2025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D03024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ознакомлены:</w:t>
      </w:r>
    </w:p>
    <w:p w:rsidR="005F7A9D" w:rsidRPr="0009374E" w:rsidRDefault="005F7A9D" w:rsidP="00D03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4535"/>
        <w:gridCol w:w="2551"/>
      </w:tblGrid>
      <w:tr w:rsidR="00D03024" w:rsidRPr="0009374E" w:rsidTr="00D03024">
        <w:trPr>
          <w:trHeight w:val="340"/>
        </w:trPr>
        <w:tc>
          <w:tcPr>
            <w:tcW w:w="2551" w:type="dxa"/>
          </w:tcPr>
          <w:p w:rsidR="001A2457" w:rsidRPr="0009374E" w:rsidRDefault="001A2457" w:rsidP="00D0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535" w:type="dxa"/>
          </w:tcPr>
          <w:p w:rsidR="001A2457" w:rsidRPr="0009374E" w:rsidRDefault="001A2457" w:rsidP="00D0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551" w:type="dxa"/>
          </w:tcPr>
          <w:p w:rsidR="001A2457" w:rsidRPr="0009374E" w:rsidRDefault="001A2457" w:rsidP="00D0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D03024" w:rsidRPr="0009374E" w:rsidTr="00D03024">
        <w:trPr>
          <w:trHeight w:val="113"/>
        </w:trPr>
        <w:tc>
          <w:tcPr>
            <w:tcW w:w="2551" w:type="dxa"/>
          </w:tcPr>
          <w:p w:rsidR="001A2457" w:rsidRPr="0009374E" w:rsidRDefault="001A2457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4535" w:type="dxa"/>
          </w:tcPr>
          <w:p w:rsidR="001A2457" w:rsidRPr="0009374E" w:rsidRDefault="001A2457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A2457" w:rsidRPr="0009374E" w:rsidRDefault="00D03024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</w:tr>
      <w:tr w:rsidR="00D03024" w:rsidRPr="0009374E" w:rsidTr="00D03024">
        <w:trPr>
          <w:trHeight w:val="340"/>
        </w:trPr>
        <w:tc>
          <w:tcPr>
            <w:tcW w:w="2551" w:type="dxa"/>
          </w:tcPr>
          <w:p w:rsidR="001A2457" w:rsidRPr="0009374E" w:rsidRDefault="00D03024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Юрченко О.А.</w:t>
            </w:r>
          </w:p>
        </w:tc>
        <w:tc>
          <w:tcPr>
            <w:tcW w:w="4535" w:type="dxa"/>
          </w:tcPr>
          <w:p w:rsidR="001A2457" w:rsidRPr="0009374E" w:rsidRDefault="001A2457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A2457" w:rsidRPr="0009374E" w:rsidRDefault="00D03024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</w:tr>
    </w:tbl>
    <w:p w:rsidR="00DA535F" w:rsidRDefault="00DA535F" w:rsidP="00341827"/>
    <w:sectPr w:rsidR="00DA535F" w:rsidSect="00CB217D">
      <w:headerReference w:type="even" r:id="rId25"/>
      <w:headerReference w:type="default" r:id="rId26"/>
      <w:headerReference w:type="first" r:id="rId2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83" w:rsidRDefault="00AD4C83">
      <w:pPr>
        <w:spacing w:after="0" w:line="240" w:lineRule="auto"/>
      </w:pPr>
      <w:r>
        <w:separator/>
      </w:r>
    </w:p>
  </w:endnote>
  <w:endnote w:type="continuationSeparator" w:id="0">
    <w:p w:rsidR="00AD4C83" w:rsidRDefault="00AD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7376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7376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7376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83" w:rsidRDefault="00AD4C83">
      <w:pPr>
        <w:spacing w:after="0" w:line="240" w:lineRule="auto"/>
      </w:pPr>
      <w:r>
        <w:separator/>
      </w:r>
    </w:p>
  </w:footnote>
  <w:footnote w:type="continuationSeparator" w:id="0">
    <w:p w:rsidR="00AD4C83" w:rsidRDefault="00AD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AD4C8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5" o:spid="_x0000_s2050" type="#_x0000_t136" style="position:absolute;margin-left:0;margin-top:0;width:439.35pt;height:21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AD4C8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6" o:spid="_x0000_s2051" type="#_x0000_t136" style="position:absolute;margin-left:0;margin-top:0;width:439.35pt;height:219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AD4C8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4" o:spid="_x0000_s2049" type="#_x0000_t136" style="position:absolute;margin-left:0;margin-top:0;width:439.35pt;height:21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D0" w:rsidRDefault="00AD4C83">
    <w:pPr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8" o:spid="_x0000_s2053" type="#_x0000_t136" style="position:absolute;margin-left:0;margin-top:0;width:439.35pt;height:219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  <w:r w:rsidR="008E0257"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AD4E4AB" wp14:editId="0455530F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FD0" w:rsidRDefault="008E0257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4"/>
                              <w:rFonts w:eastAsiaTheme="minorEastAsia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D4E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244FD0" w:rsidRDefault="008E0257">
                    <w:pPr>
                      <w:spacing w:line="240" w:lineRule="auto"/>
                    </w:pPr>
                    <w:r w:rsidRPr="0009374E">
                      <w:rPr>
                        <w:rStyle w:val="a4"/>
                        <w:rFonts w:eastAsiaTheme="minorEastAsia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AD4C8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9" o:spid="_x0000_s2054" type="#_x0000_t136" style="position:absolute;margin-left:0;margin-top:0;width:439.35pt;height:219.6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61" w:rsidRDefault="00AD4C83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7" o:spid="_x0000_s2052" type="#_x0000_t136" style="position:absolute;margin-left:0;margin-top:0;width:439.35pt;height:219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2C6"/>
    <w:multiLevelType w:val="hybridMultilevel"/>
    <w:tmpl w:val="18E8B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26CF2"/>
    <w:multiLevelType w:val="hybridMultilevel"/>
    <w:tmpl w:val="84F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620A"/>
    <w:multiLevelType w:val="hybridMultilevel"/>
    <w:tmpl w:val="2DE6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13B2"/>
    <w:multiLevelType w:val="hybridMultilevel"/>
    <w:tmpl w:val="B914D40E"/>
    <w:lvl w:ilvl="0" w:tplc="65BC4ED6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D"/>
    <w:rsid w:val="000445FB"/>
    <w:rsid w:val="000C5895"/>
    <w:rsid w:val="001A2457"/>
    <w:rsid w:val="001F6486"/>
    <w:rsid w:val="00207680"/>
    <w:rsid w:val="002666A9"/>
    <w:rsid w:val="0027105C"/>
    <w:rsid w:val="002A51F5"/>
    <w:rsid w:val="00320FDA"/>
    <w:rsid w:val="00330243"/>
    <w:rsid w:val="00341827"/>
    <w:rsid w:val="003C332D"/>
    <w:rsid w:val="004C36DC"/>
    <w:rsid w:val="004D036F"/>
    <w:rsid w:val="004E394E"/>
    <w:rsid w:val="004F2E02"/>
    <w:rsid w:val="005D18A4"/>
    <w:rsid w:val="005F7A9D"/>
    <w:rsid w:val="00671654"/>
    <w:rsid w:val="006B7F04"/>
    <w:rsid w:val="00737661"/>
    <w:rsid w:val="007F2CC3"/>
    <w:rsid w:val="008E0257"/>
    <w:rsid w:val="00AD4C83"/>
    <w:rsid w:val="00B16041"/>
    <w:rsid w:val="00C70B66"/>
    <w:rsid w:val="00C93B6B"/>
    <w:rsid w:val="00D03024"/>
    <w:rsid w:val="00D46C76"/>
    <w:rsid w:val="00DA535F"/>
    <w:rsid w:val="00ED2BD4"/>
    <w:rsid w:val="00F64A5A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D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A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"/>
    <w:basedOn w:val="a0"/>
    <w:rsid w:val="005F7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320F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0FD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827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7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661"/>
    <w:rPr>
      <w:rFonts w:eastAsiaTheme="minorEastAsia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7661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9D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A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"/>
    <w:basedOn w:val="a0"/>
    <w:rsid w:val="005F7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320F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0FD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827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7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661"/>
    <w:rPr>
      <w:rFonts w:eastAsiaTheme="minorEastAsia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7661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dytsimf.crimeaschool.ru/matematika" TargetMode="External"/><Relationship Id="rId18" Type="http://schemas.openxmlformats.org/officeDocument/2006/relationships/hyperlink" Target="https://cdytsimf.crimeaschool.ru/mo" TargetMode="Externa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dytsimf.crimeaschool.ru/matematika" TargetMode="External"/><Relationship Id="rId17" Type="http://schemas.openxmlformats.org/officeDocument/2006/relationships/hyperlink" Target="https://cdytsimf.crimeaschool.ru/mrmo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cdytsimf.crimeaschool.ru/finansovaya_gramotnost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dytsimf.crimeaschool.ru/matematik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dytsimf.crimeaschool.ru/materialy_rmo_shmu_sp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https://krippo.ru/index.php/v-pomoshch-uchitelyu/v-pomosh-ychitelu/14-moduli/2190-funktsionalnaya-gramotnos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dytsimf.crimeaschool.ru/materialy_rmo_shmu_sp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USER</cp:lastModifiedBy>
  <cp:revision>10</cp:revision>
  <cp:lastPrinted>2025-01-23T14:10:00Z</cp:lastPrinted>
  <dcterms:created xsi:type="dcterms:W3CDTF">2025-01-14T11:39:00Z</dcterms:created>
  <dcterms:modified xsi:type="dcterms:W3CDTF">2025-01-23T14:41:00Z</dcterms:modified>
</cp:coreProperties>
</file>