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A1" w:rsidRPr="00FD31A1" w:rsidRDefault="00FD31A1" w:rsidP="00FD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D31A1" w:rsidRPr="00FD31A1" w:rsidRDefault="00FD31A1" w:rsidP="00FD3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«СТАРОКРЫМСКАЯ  ОБЩЕОБРАЗОВАТЕЛЬНАЯ ШКОЛА № 2 ИМЕНИ ДВАЖДЫ ГЕРОЯ СОВЕТСКОГО СОЮЗА АМЕТ-ХАНА СУЛТАНА»</w:t>
      </w:r>
      <w:r w:rsidRPr="00FD3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КИРОВСКОГО РАЙОНА РЕСПУБЛИКИ КРЫМ</w:t>
      </w:r>
    </w:p>
    <w:p w:rsidR="00FD31A1" w:rsidRPr="00FD31A1" w:rsidRDefault="00FD31A1" w:rsidP="00FD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A1" w:rsidRPr="00FD31A1" w:rsidRDefault="00FD31A1" w:rsidP="00FD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A1" w:rsidRPr="00FD31A1" w:rsidRDefault="00FD31A1" w:rsidP="00FD3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394"/>
        <w:gridCol w:w="3840"/>
        <w:gridCol w:w="3337"/>
      </w:tblGrid>
      <w:tr w:rsidR="00FD31A1" w:rsidRPr="00FD31A1" w:rsidTr="005F3B76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 </w:t>
            </w:r>
            <w:proofErr w:type="spellStart"/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Кемалова</w:t>
            </w:r>
            <w:proofErr w:type="spellEnd"/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В.С.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_____20___ г.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ОДОБРЕНО</w:t>
            </w:r>
          </w:p>
          <w:p w:rsidR="00FD31A1" w:rsidRPr="00FD31A1" w:rsidRDefault="00FD31A1" w:rsidP="00F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Протокол № __ 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от «__» __20___г.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proofErr w:type="spellStart"/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Сейтякубова</w:t>
            </w:r>
            <w:proofErr w:type="spellEnd"/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Т.Д.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№___ </w:t>
            </w:r>
          </w:p>
          <w:p w:rsidR="00FD31A1" w:rsidRPr="00FD31A1" w:rsidRDefault="00FD31A1" w:rsidP="00FD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«__» ___20__г.</w:t>
            </w:r>
          </w:p>
        </w:tc>
      </w:tr>
    </w:tbl>
    <w:p w:rsidR="00FD31A1" w:rsidRPr="00FD31A1" w:rsidRDefault="00FD31A1" w:rsidP="00FD31A1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A1" w:rsidRPr="00FD31A1" w:rsidRDefault="00FD31A1" w:rsidP="00FD31A1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A1" w:rsidRDefault="00FD31A1" w:rsidP="00FD31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FD31A1" w:rsidRPr="00967F2D" w:rsidRDefault="00FD31A1" w:rsidP="00FD31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1A1" w:rsidRPr="00967F2D" w:rsidRDefault="00FD31A1" w:rsidP="00FD31A1">
      <w:pPr>
        <w:tabs>
          <w:tab w:val="left" w:pos="851"/>
        </w:tabs>
        <w:suppressAutoHyphens/>
        <w:spacing w:after="0"/>
        <w:ind w:left="5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Положение</w:t>
      </w:r>
    </w:p>
    <w:p w:rsidR="00FD31A1" w:rsidRPr="00967F2D" w:rsidRDefault="00FD31A1" w:rsidP="00FD31A1">
      <w:pPr>
        <w:tabs>
          <w:tab w:val="left" w:pos="851"/>
        </w:tabs>
        <w:suppressAutoHyphens/>
        <w:spacing w:after="0"/>
        <w:ind w:left="5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 правилах приема, перевода и отчисления обучающихся </w:t>
      </w:r>
    </w:p>
    <w:p w:rsidR="00FD31A1" w:rsidRPr="00967F2D" w:rsidRDefault="00FD31A1" w:rsidP="00FD31A1">
      <w:pPr>
        <w:tabs>
          <w:tab w:val="left" w:pos="851"/>
        </w:tabs>
        <w:suppressAutoHyphens/>
        <w:spacing w:after="0"/>
        <w:ind w:left="5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по дополнительным общеобразовательным </w:t>
      </w:r>
    </w:p>
    <w:p w:rsidR="00FD31A1" w:rsidRPr="00967F2D" w:rsidRDefault="00FD31A1" w:rsidP="00FD31A1">
      <w:pPr>
        <w:tabs>
          <w:tab w:val="left" w:pos="851"/>
        </w:tabs>
        <w:suppressAutoHyphens/>
        <w:spacing w:after="0"/>
        <w:ind w:left="5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общеразвивающим программам</w:t>
      </w:r>
    </w:p>
    <w:p w:rsidR="00FD31A1" w:rsidRPr="00967F2D" w:rsidRDefault="00FD31A1" w:rsidP="00FD31A1">
      <w:pPr>
        <w:suppressAutoHyphens/>
        <w:spacing w:after="0" w:line="264" w:lineRule="auto"/>
        <w:ind w:left="993" w:right="529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бюджетного </w:t>
      </w:r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общеобразовательного учреждения </w:t>
      </w:r>
    </w:p>
    <w:p w:rsidR="00FD31A1" w:rsidRPr="00967F2D" w:rsidRDefault="00FD31A1" w:rsidP="00FD31A1">
      <w:pPr>
        <w:suppressAutoHyphens/>
        <w:spacing w:after="0" w:line="264" w:lineRule="auto"/>
        <w:ind w:left="993" w:right="529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общеобразовательная школа № 2 имени дважды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» </w:t>
      </w:r>
    </w:p>
    <w:p w:rsidR="00FD31A1" w:rsidRPr="00967F2D" w:rsidRDefault="00FD31A1" w:rsidP="00FD31A1">
      <w:pPr>
        <w:tabs>
          <w:tab w:val="left" w:pos="851"/>
        </w:tabs>
        <w:suppressAutoHyphens/>
        <w:spacing w:after="0"/>
        <w:ind w:left="5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FD31A1" w:rsidRPr="00967F2D" w:rsidRDefault="00FD31A1" w:rsidP="00FD31A1">
      <w:pPr>
        <w:numPr>
          <w:ilvl w:val="0"/>
          <w:numId w:val="4"/>
        </w:numPr>
        <w:suppressAutoHyphens/>
        <w:spacing w:after="10" w:line="264" w:lineRule="auto"/>
        <w:ind w:left="993" w:right="1322" w:hanging="24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Общие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положения</w:t>
      </w:r>
      <w:proofErr w:type="spellEnd"/>
    </w:p>
    <w:p w:rsidR="00FD31A1" w:rsidRPr="00A35258" w:rsidRDefault="00FD31A1" w:rsidP="00FD31A1">
      <w:pPr>
        <w:pStyle w:val="a3"/>
        <w:numPr>
          <w:ilvl w:val="1"/>
          <w:numId w:val="4"/>
        </w:numPr>
        <w:suppressAutoHyphens/>
        <w:spacing w:after="10"/>
        <w:ind w:left="0" w:right="2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Положение о приеме, переводе и отчислении учащихся (далее — Положение) регулирует отношения, возникающие между Муниципальным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бюджетным </w:t>
      </w:r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общеобразовательным учреждением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общеобразовательная школа № 2 имени дважды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-Хана Султана</w:t>
      </w:r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 (далее —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-Хана Султана</w:t>
      </w:r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»)  и учащимися и (или) родителями (законными представителями) несовершеннолетних учащихся при оказании образовательных услуг в сфере дополнительного образования, определяет порядок приема, перевода и отчисления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</w:t>
      </w:r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</w:t>
      </w:r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щихся</w:t>
      </w:r>
      <w:proofErr w:type="gramEnd"/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-Хана Султана»</w:t>
      </w:r>
      <w:r w:rsidRPr="00A3525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FD31A1" w:rsidRPr="00967F2D" w:rsidRDefault="00FD31A1" w:rsidP="00FD31A1">
      <w:pPr>
        <w:numPr>
          <w:ilvl w:val="1"/>
          <w:numId w:val="4"/>
        </w:numPr>
        <w:suppressAutoHyphens/>
        <w:spacing w:after="10" w:line="244" w:lineRule="auto"/>
        <w:ind w:left="0" w:right="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Положение разработано в соответствии 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-Федеральный закон Российской Федерации от 29.12.2012 г. № 273-ФЗ «Об образовании в Российской Федерации» </w:t>
      </w:r>
      <w:r w:rsidRPr="00967F2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967F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sz w:val="24"/>
          <w:szCs w:val="24"/>
        </w:rPr>
        <w:t xml:space="preserve">-Федеральный закон Российской Федерации от 24.07.1998 г. № 124-ФЗ «Об основных гарантиях прав ребенка в Российской Федерации» </w:t>
      </w:r>
      <w:r w:rsidRPr="00967F2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6" w:history="1"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-Стратегия научно-технологического развития Российской Федерации, утверждённая Указом Президента Российской Федерации от 01.12.2016 г. № 642 (</w:t>
      </w:r>
      <w:r w:rsidRPr="00967F2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7" w:history="1"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  </w:r>
      </w:hyperlink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967F2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8" w:history="1"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28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-Приказ Министерства просвещения Российской Федерации от 13.03.2019 г.          № 114 «Об утверждении показателей, характеризующих общие критерии 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9" w:history="1"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Приказ </w:t>
        </w:r>
        <w:proofErr w:type="spellStart"/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Минпросвещения</w:t>
        </w:r>
        <w:proofErr w:type="spellEnd"/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России от 03.09.2019 г. № 467 «Об утверждении Целевой </w:t>
        </w:r>
        <w:proofErr w:type="gramStart"/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модели развития региональных систем развития дополнительного образования</w:t>
        </w:r>
        <w:proofErr w:type="gramEnd"/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детей»</w:t>
        </w:r>
      </w:hyperlink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действующей редакции); 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-Приказ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05.08.2020 г.                       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>-Указ Президента Российской Федерации от 21.07.2020 г. № 474 «</w:t>
      </w:r>
      <w:hyperlink r:id="rId10" w:tgtFrame="_blank" w:history="1">
        <w:r w:rsidRPr="00967F2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 национальных целях развития России до 2030 года</w:t>
        </w:r>
      </w:hyperlink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-Федеральный закон </w:t>
      </w:r>
      <w:r w:rsidRPr="00967F2D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>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</w:t>
      </w:r>
      <w:bookmarkStart w:id="1" w:name="_Hlk72131563"/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>-Постановление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-Приказ Министерства труда и социальной защиты Российской Федерации                             от 22.09.2021 г. № 652н «Об утверждении профессионального стандарта «Педагог дополнительного образования детей и взрослых»;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FD31A1" w:rsidRPr="00967F2D" w:rsidRDefault="00FD31A1" w:rsidP="00FD31A1">
      <w:pPr>
        <w:tabs>
          <w:tab w:val="left" w:pos="85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967F2D">
        <w:rPr>
          <w:rFonts w:ascii="Times New Roman" w:eastAsia="+mn-ea" w:hAnsi="Times New Roman" w:cs="Times New Roman"/>
          <w:sz w:val="24"/>
          <w:szCs w:val="24"/>
          <w:u w:color="000000"/>
          <w:lang w:eastAsia="ru-RU"/>
        </w:rPr>
        <w:t xml:space="preserve">-Приказ Министерства просвещения Российской Федерации от 27.07.2022 г.            № 629 «Об утверждении </w:t>
      </w:r>
      <w:r w:rsidRPr="00967F2D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Порядка</w:t>
      </w:r>
      <w:r w:rsidRPr="00967F2D">
        <w:rPr>
          <w:rFonts w:ascii="Times New Roman" w:eastAsia="+mn-ea" w:hAnsi="Times New Roman" w:cs="Times New Roman"/>
          <w:sz w:val="24"/>
          <w:szCs w:val="24"/>
          <w:u w:color="000000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967F2D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bookmarkStart w:id="2" w:name="_Hlk114566402"/>
      <w:r w:rsidRPr="00967F2D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4"/>
          <w:szCs w:val="24"/>
          <w:lang w:eastAsia="ru-RU"/>
        </w:rPr>
        <w:t>-О</w:t>
      </w: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Республики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Крымот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06.07.2015 г.                   № 131-ЗРК/2015 </w:t>
      </w:r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967F2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); 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-Приказ Министерства образования, науки и молодежи Республики Крым                           от 16.07.2021 № 1204 «Об автоматизированной информационной системе «Навигатор дополнительного образования детей Республики Крым»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-Приказ Министерства образования, науки и молодежи Республики Крым                            от 03.09.2021 г. № 1394 «Об утверждении моделей обеспечения доступности дополнительного образования для детей Республики Крым»;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-Приказ Министерства образования, науки и молодежи Республики Крым                  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FD31A1" w:rsidRPr="00967F2D" w:rsidRDefault="00FD31A1" w:rsidP="00FD31A1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7F2D">
        <w:rPr>
          <w:rFonts w:ascii="Times New Roman" w:eastAsia="Times New Roman" w:hAnsi="Times New Roman" w:cs="Times New Roman"/>
          <w:sz w:val="24"/>
          <w:szCs w:val="24"/>
        </w:rPr>
        <w:t>-Распоряжение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bookmarkEnd w:id="2"/>
    <w:p w:rsidR="00FD31A1" w:rsidRPr="00967F2D" w:rsidRDefault="00FD31A1" w:rsidP="00FD31A1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-Методические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                      от 29.03.2016 г. № ВК-641/09 «О направлении методических рекомендаций»; </w:t>
      </w:r>
    </w:p>
    <w:p w:rsidR="00FD31A1" w:rsidRPr="00967F2D" w:rsidRDefault="00FD31A1" w:rsidP="00FD31A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- Письмо Министерства Просвещения Российской Федерации от 20.02.2019 г.                           № ТС – 551/07 «О сопровождении образования обучающихся с ОВЗ и инвалидностью»;</w:t>
      </w:r>
    </w:p>
    <w:p w:rsidR="00FD31A1" w:rsidRPr="00967F2D" w:rsidRDefault="00FD31A1" w:rsidP="00FD31A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- Письмо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FD31A1" w:rsidRPr="00967F2D" w:rsidRDefault="00FD31A1" w:rsidP="00FD31A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- Письмо Министерства Просвещения Российской Федерации от 30.12.2022 г.                            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FD31A1" w:rsidRPr="00967F2D" w:rsidRDefault="00FD31A1" w:rsidP="00FD31A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- 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FD31A1" w:rsidRPr="00967F2D" w:rsidRDefault="00FD31A1" w:rsidP="00FD31A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- Письмо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профориентационного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профориентационного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минимума в образовательных организациях субъекта Российской Федерации»);</w:t>
      </w:r>
    </w:p>
    <w:p w:rsidR="00FD31A1" w:rsidRPr="00967F2D" w:rsidRDefault="00FD31A1" w:rsidP="00FD31A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967F2D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- Устав </w:t>
      </w:r>
      <w:r w:rsidRPr="00967F2D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-Хана Султана»</w:t>
      </w:r>
    </w:p>
    <w:p w:rsidR="00FD31A1" w:rsidRPr="00967F2D" w:rsidRDefault="00FD31A1" w:rsidP="00FD31A1">
      <w:pPr>
        <w:tabs>
          <w:tab w:val="left" w:pos="993"/>
        </w:tabs>
        <w:spacing w:after="0" w:line="240" w:lineRule="auto"/>
        <w:ind w:left="1096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1.3. 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» объявляет прием для обучения по дополнительным общеобразовательным общеразвивающим программам.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1.4. В 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принимаются дети в возрасте преимущественно от 6 лет 6 месяцев до 18 лет. 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1.5. К освоению дополнительных общеобразовательных программ допускаются лица без предъявления требований к уровню образования, если иное не обусловлено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спецификой реализуемых образовательных программ. Возраст и количественный состав учащихся в учебных группах регламентируется дополнительной общеразвивающей программой.</w:t>
      </w:r>
    </w:p>
    <w:p w:rsidR="00FD31A1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1.6. Родители (законные представители) обучающихся имеют право выбора образовательного объединения с учетом индивидуальных особенностей детей, состояние их здоровья, уровня физического развития, однако не могут настаивать на реализации каких-либо образовательных программ, услуг, форм получения образования, не включенных в Устав 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1.7. Каждый учащийся имеет право заниматься в нескольких творческих объединениях, переходить в процессе обучения из одного объединения в другое при наличии свободных мест. В работе объединений могут участвовать (совместно с детьми) их родители (законные представители) без включения в основной состав при наличии условий и согласия руководителя объединения.</w:t>
      </w:r>
    </w:p>
    <w:p w:rsidR="00FD31A1" w:rsidRPr="00967F2D" w:rsidRDefault="00FD31A1" w:rsidP="00FD31A1">
      <w:pPr>
        <w:numPr>
          <w:ilvl w:val="1"/>
          <w:numId w:val="5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 учащихся на основании установленных показателей государственного задания на оказание образовательных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услуг осуществляться на бесплатной основе.</w:t>
      </w:r>
    </w:p>
    <w:p w:rsidR="00FD31A1" w:rsidRPr="00967F2D" w:rsidRDefault="00FD31A1" w:rsidP="00FD31A1">
      <w:pPr>
        <w:suppressAutoHyphens/>
        <w:spacing w:after="0" w:line="264" w:lineRule="auto"/>
        <w:ind w:left="1073" w:right="134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Порядок приема учащихся</w:t>
      </w:r>
    </w:p>
    <w:p w:rsidR="00FD31A1" w:rsidRPr="00967F2D" w:rsidRDefault="00FD31A1" w:rsidP="00FD31A1">
      <w:pPr>
        <w:suppressAutoHyphens/>
        <w:spacing w:after="0" w:line="264" w:lineRule="auto"/>
        <w:ind w:left="1073" w:right="134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2.1. Прием учащихся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осуществляется в период комплектования учебных групп (с 15 августа по 15 сентября), также в течение всего календарного года при наличии свободных ме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 в тв</w:t>
      </w:r>
      <w:proofErr w:type="gram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орческих объединениях (группах, секциях, кружках, студиях, ансамблях).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Возможен дополнительный набор учащихся в течение учебного года на свободные места в группы первого, второго и последующих годов обучения. Прием учащихся на свободные места в группы второго и последующих годов обучения осуществляется по результатам собеседования с педагогом (руководителем творческого объединения) для определения уровня знаний, умений и навыков, для освоения дополнительной общеразвивающей программы.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30" w:line="256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Для зачисления учащихся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необходимо: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зарегистрировать детей в возрасте от 6 лет 6 месяцев до 18 лет в автоматизированной информационной системе «Навигатор дополнительного образования детей Республики Крым» 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( </w:t>
      </w:r>
      <w:proofErr w:type="gram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en-US" w:eastAsia="zh-CN"/>
        </w:rPr>
        <w:t>https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zh-CN"/>
        </w:rPr>
        <w:t>://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val="en-US" w:eastAsia="zh-CN"/>
        </w:rPr>
        <w:t>p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zh-CN"/>
        </w:rPr>
        <w:t>82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.навигатор); 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направить заявку на обучение ребенка в выбранном кружке или объединении, запись на 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которые</w:t>
      </w:r>
      <w:proofErr w:type="gram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открыта через Навигатор (при отсутствии свободных мест на обучение запись на программу будет закрыта). Заявка не является гарантией зачисления ребенка в выбранное творческое объединение. Это лишь предварительное оповещение о желании ребенка обучаться по данной программе.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Образовательная организация обрабатывает полученные заявки: подтверждает или отклоняет. Ответ о результатах рассмотрения будет направлен на электронный адрес пользователя, указанный при регистрации.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После подтверждения заявки учащиеся и (или) родители (законные представители) несовершеннолетних учащихся обязаны лично явиться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для подачи документов на зачисление в образовательную организацию в течение 5 рабочих дней.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Прием учащихся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осуществляется на основании заявления. При подаче заявления учащиеся и (или) родители (законные представители) несовершеннолетних учащихся предъявляют  документы, указанные в Положении о приеме в школу.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Зачисление учащихся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осуществляется при наличии полного пакета документов: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заявление родителей (законных представителей) детей (Приложение); 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D54869" wp14:editId="78479512">
            <wp:extent cx="89535" cy="19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222" r="-238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9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полис медицинского страхования (ксерокопия); 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согласие на обработку персональных данных ребенка в связи с зачислением на обучение по дополнительной общеразвивающей программе всеми операторами персональных данных, необходимое для обучения (Приложение); 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медицинская справка об отсутствии противопоказаний к занятиям по направлению деятельности объединения (оригинал или ксерокопия).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5" w:line="235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Прием детей с ограниченными возможностями здоровья (ОВЗ) и детей-инвалидов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осуществляется в соответствии с пунктами 2.1.-2.7. 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Положения и заключением  Психолого-медико-педагогической комиссии (далее ПМПК, подтверждающего статус ребенка с ОВЗ, и (или) документом, подтверждающего статус ребенка-инвалида (справка об инвалидности).</w:t>
      </w:r>
      <w:proofErr w:type="gramEnd"/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Ксерокопия заключения ПМПК, подтверждающая статус ребенка с ОВЗ, ксерокопия документа, подтверждающего статус ребенка-инвалида (справка об инвалидности), предъявляются педагогу-психологу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6373CE"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 w:rsidRPr="006373CE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 w:rsidRPr="006373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 w:rsidRPr="006373CE"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 w:rsidRPr="006373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-Хана Султана».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Ксерокопия заключения ПМПК, подтверждающая статус ребенка с ОВЗ, ксерокопия документа, подтверждающего статус ребенка-инвалида (справка об инвалидности), хранятся у педагога-психолога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-Хана Султана».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 зачисления детей с ОВЗ и детей 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-и</w:t>
      </w:r>
      <w:proofErr w:type="gram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нвалидов в общую группу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нормотипичных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детей на основании приказа, с целью их адаптации, допустимо пребывание на занятиях кружка или студии в течение 2-х недель.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случае успешной адаптации, ребенок с ОВЗ зачисляется в общую группу для дальнейшего обучения. Далее эта группа значится </w:t>
      </w:r>
      <w:proofErr w:type="gram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инклюзивной</w:t>
      </w:r>
      <w:proofErr w:type="gram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В противном случае зачисление не производится.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Родителям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будет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предложена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альтернатива</w:t>
      </w:r>
      <w:proofErr w:type="spellEnd"/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Основанием для отказа в зачислении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является: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отсутствие свободных мест; 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наличие у ребёнка медицинских противопоказаний;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возраст ребенка не соответствует возрастным требованиям дополнительной общеразвивающей программы, ниже минимального значения или выше максимального значения, предусмотренного Уставом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D31A1" w:rsidRPr="00967F2D" w:rsidRDefault="00FD31A1" w:rsidP="00FD31A1">
      <w:pPr>
        <w:tabs>
          <w:tab w:val="num" w:pos="0"/>
        </w:tabs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предоставлен неполный пакет документов для зачисления учащегося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-Хана Султана».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Пакет документов на зачисление подается педагогу дополнительного образования выбранного творческого объединения (группы, секции, кружка, студии, ансамбля) или заместителю директора по воспитательной работе.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 приеме учащихся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педагоги знакомят учащихся и (или) родителей (законных представителей) несовершеннолетних учащихся с Уставом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-Хана Султана»,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образовательными программами, реализуемыми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Султана»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локальными актами, регламентирующими организацию образовательного процесса.</w:t>
      </w:r>
    </w:p>
    <w:p w:rsidR="00FD31A1" w:rsidRPr="00967F2D" w:rsidRDefault="00FD31A1" w:rsidP="00FD31A1">
      <w:pPr>
        <w:numPr>
          <w:ilvl w:val="1"/>
          <w:numId w:val="7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Решение о зачислении учащегося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оформляется приказом директора.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2.17. Педагог дополнительного образования соответствующего творческого объединения формирует личное дело учащегося, которое состоит из следующих документов: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заявление родителей (законных представителей) детей;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полис медицинского страхования (ксерокопия);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согласие на обработку персональных данных ребенка в связи с зачислением на обучение по дополнительной общеразвивающей программе всеми операторами персональных данных, необходимое для обучения;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медицинская справка об отсутствии противопоказаний к занятиям по направлению деятельности объединения (оригинал или ксерокопия).</w:t>
      </w:r>
    </w:p>
    <w:p w:rsidR="00FD31A1" w:rsidRPr="00967F2D" w:rsidRDefault="00FD31A1" w:rsidP="00FD31A1">
      <w:pPr>
        <w:numPr>
          <w:ilvl w:val="1"/>
          <w:numId w:val="1"/>
        </w:numPr>
        <w:suppressAutoHyphens/>
        <w:spacing w:after="10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Личные дела учащихся являются обязательной частью документации педагога дополнительного образования и хранятся до минования надобности (досрочное отчисление ввиду закрытия творческого объединения, по инициативе родителей (законных представителей) детей или отчисление учащегося в связи с завершением обучения по дополнительной общеразвивающей программе).</w:t>
      </w:r>
    </w:p>
    <w:p w:rsidR="00FD31A1" w:rsidRPr="00967F2D" w:rsidRDefault="00FD31A1" w:rsidP="00FD31A1">
      <w:pPr>
        <w:numPr>
          <w:ilvl w:val="1"/>
          <w:numId w:val="1"/>
        </w:numPr>
        <w:suppressAutoHyphens/>
        <w:spacing w:after="416" w:line="244" w:lineRule="auto"/>
        <w:ind w:right="3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Личные дела учащихся хранятся в кабинете специалиста по кадровому делопроизводству.</w:t>
      </w:r>
    </w:p>
    <w:p w:rsidR="00FD31A1" w:rsidRPr="00967F2D" w:rsidRDefault="00FD31A1" w:rsidP="00FD31A1">
      <w:pPr>
        <w:suppressAutoHyphens/>
        <w:spacing w:after="0" w:line="264" w:lineRule="auto"/>
        <w:ind w:left="1073" w:right="139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З. Порядок перевода и отчисления учащихся</w:t>
      </w:r>
    </w:p>
    <w:p w:rsidR="00FD31A1" w:rsidRPr="00967F2D" w:rsidRDefault="00FD31A1" w:rsidP="00FD31A1">
      <w:pPr>
        <w:numPr>
          <w:ilvl w:val="1"/>
          <w:numId w:val="3"/>
        </w:num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Перевод учащихся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следующий год (этап) обучения по дополнительной общеобразовательной общеразвивающей программе производится на основании результатов промежуточной аттестации.</w:t>
      </w:r>
    </w:p>
    <w:p w:rsidR="00FD31A1" w:rsidRPr="00967F2D" w:rsidRDefault="00FD31A1" w:rsidP="00FD31A1">
      <w:pPr>
        <w:numPr>
          <w:ilvl w:val="1"/>
          <w:numId w:val="3"/>
        </w:numPr>
        <w:suppressAutoHyphens/>
        <w:spacing w:after="10" w:line="244" w:lineRule="auto"/>
        <w:ind w:right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Перевод учащихся оформляется приказом директора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-Хана Султана».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Учащийся может быть отчислен из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Султана»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связи с завершением обучения по дополнительной общеобразовательной общеразвивающей программе или досрочно.</w:t>
      </w:r>
    </w:p>
    <w:p w:rsidR="00FD31A1" w:rsidRPr="00967F2D" w:rsidRDefault="00FD31A1" w:rsidP="00FD31A1">
      <w:pPr>
        <w:numPr>
          <w:ilvl w:val="1"/>
          <w:numId w:val="3"/>
        </w:num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связи с изменением программного материала учащийся может быть отчислен или переведен на новую программу.</w:t>
      </w:r>
    </w:p>
    <w:p w:rsidR="00FD31A1" w:rsidRPr="00967F2D" w:rsidRDefault="00FD31A1" w:rsidP="00FD31A1">
      <w:pPr>
        <w:suppressAutoHyphens/>
        <w:spacing w:after="38" w:line="244" w:lineRule="auto"/>
        <w:ind w:left="38"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3.5, Досрочное отчисление учащегося возможно в следующих случаях: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 инициативе учащегося и (или) родителей (законных представителей) несовершеннолетнего учащегося; </w:t>
      </w:r>
      <w:r w:rsidRPr="00967F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47AD9EB" wp14:editId="1806D26F">
            <wp:extent cx="89535" cy="19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222" r="-238" b="-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19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основании медицинского заключения о состоянии здоровья, препятствующего дальней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шему пребыванию учащегося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»;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по инициативе образовательной организации в случае установления нарушений правил внутреннего распорядка, правил поведения 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D31A1" w:rsidRPr="00967F2D" w:rsidRDefault="00FD31A1" w:rsidP="00FD31A1">
      <w:p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случаях пропусков учащимся занятий в течение 30-ти календарных дней без уважительных причин;</w:t>
      </w:r>
    </w:p>
    <w:p w:rsidR="00FD31A1" w:rsidRPr="00967F2D" w:rsidRDefault="00FD31A1" w:rsidP="00FD31A1">
      <w:pPr>
        <w:tabs>
          <w:tab w:val="num" w:pos="0"/>
        </w:tabs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 обстоятельствам, не зависящим от воли учащегося и (или) родителей (законных представителей) несовершеннолетнего учащегося и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Султана»,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том числе в случае ликвидации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-Хана Султана».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Досрочное отчисление по инициативе учащегося и (или)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Султана».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расторгается.</w:t>
      </w:r>
    </w:p>
    <w:p w:rsidR="00FD31A1" w:rsidRPr="00967F2D" w:rsidRDefault="00FD31A1" w:rsidP="00FD31A1">
      <w:pPr>
        <w:numPr>
          <w:ilvl w:val="1"/>
          <w:numId w:val="2"/>
        </w:num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Решение об отчислении учащегося из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-Хана Султана»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оформляется приказом директора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доводится устно до сведения учащегося и (или) родителей (законных представителей) несовершеннолетнего учащегося.</w:t>
      </w:r>
    </w:p>
    <w:p w:rsidR="00FD31A1" w:rsidRPr="00967F2D" w:rsidRDefault="00FD31A1" w:rsidP="00FD31A1">
      <w:pPr>
        <w:numPr>
          <w:ilvl w:val="1"/>
          <w:numId w:val="2"/>
        </w:numPr>
        <w:suppressAutoHyphens/>
        <w:spacing w:after="264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 досрочном отчислении учащегося из 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Старокрымская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ОШ № 2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-Хана Султана</w:t>
      </w:r>
      <w:r w:rsidRPr="0096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течение 3 дней по заявлению ему может быть выдана справка о прохождении обучения по соответствующей дополнительной общеобразовательной общеразвивающей программе.</w:t>
      </w:r>
    </w:p>
    <w:p w:rsidR="00FD31A1" w:rsidRPr="00967F2D" w:rsidRDefault="00FD31A1" w:rsidP="00FD31A1">
      <w:pPr>
        <w:suppressAutoHyphens/>
        <w:spacing w:after="0" w:line="264" w:lineRule="auto"/>
        <w:ind w:left="1073" w:right="13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4. </w:t>
      </w:r>
      <w:proofErr w:type="spellStart"/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Заключительные</w:t>
      </w:r>
      <w:proofErr w:type="spellEnd"/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967F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положения</w:t>
      </w:r>
      <w:proofErr w:type="spellEnd"/>
    </w:p>
    <w:p w:rsidR="00FD31A1" w:rsidRPr="00967F2D" w:rsidRDefault="00FD31A1" w:rsidP="00FD31A1">
      <w:pPr>
        <w:suppressAutoHyphens/>
        <w:spacing w:after="0" w:line="264" w:lineRule="auto"/>
        <w:ind w:left="1073" w:right="13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FD31A1" w:rsidRPr="00967F2D" w:rsidRDefault="00FD31A1" w:rsidP="00FD31A1">
      <w:pPr>
        <w:numPr>
          <w:ilvl w:val="1"/>
          <w:numId w:val="6"/>
        </w:num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Настоящее Положение вступает в силу с момента его утверждения и прекращает действие с принятием нового Положения.</w:t>
      </w:r>
    </w:p>
    <w:p w:rsidR="00FD31A1" w:rsidRPr="00967F2D" w:rsidRDefault="00FD31A1" w:rsidP="00FD31A1">
      <w:pPr>
        <w:numPr>
          <w:ilvl w:val="1"/>
          <w:numId w:val="6"/>
        </w:numPr>
        <w:suppressAutoHyphens/>
        <w:spacing w:after="10" w:line="244" w:lineRule="auto"/>
        <w:ind w:right="316" w:firstLine="6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67F2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Исходя из приоритетных направлений 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 и молодежи в РФ, нормативных документов настоящее Положение может изменяться и дополняться.</w:t>
      </w:r>
    </w:p>
    <w:p w:rsidR="00D32431" w:rsidRDefault="00D32431"/>
    <w:sectPr w:rsidR="00D3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start w:val="18"/>
      <w:numFmt w:val="decimal"/>
      <w:lvlText w:val="%1.%2."/>
      <w:lvlJc w:val="left"/>
      <w:pPr>
        <w:tabs>
          <w:tab w:val="num" w:pos="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1">
    <w:nsid w:val="00000007"/>
    <w:multiLevelType w:val="multilevel"/>
    <w:tmpl w:val="00000007"/>
    <w:name w:val="WW8Num10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2">
    <w:nsid w:val="00000008"/>
    <w:multiLevelType w:val="multilevel"/>
    <w:tmpl w:val="00000008"/>
    <w:name w:val="WW8Num11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3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1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4">
    <w:nsid w:val="0000000A"/>
    <w:multiLevelType w:val="multilevel"/>
    <w:tmpl w:val="0000000A"/>
    <w:name w:val="WW8Num13"/>
    <w:lvl w:ilvl="0">
      <w:start w:val="1"/>
      <w:numFmt w:val="decimal"/>
      <w:lvlText w:val="%1"/>
      <w:lvlJc w:val="left"/>
      <w:pPr>
        <w:tabs>
          <w:tab w:val="num" w:pos="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abstractNum w:abstractNumId="5">
    <w:nsid w:val="0000000B"/>
    <w:multiLevelType w:val="multilevel"/>
    <w:tmpl w:val="0000000B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0000000C"/>
    <w:multiLevelType w:val="multilevel"/>
    <w:tmpl w:val="0000000C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A1"/>
    <w:rsid w:val="00632644"/>
    <w:rsid w:val="00D32431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308-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tatic.kremlin.ru/media/acts/files/0001201805070038.pdf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f5Z8H9tgUK5Y9qtJ0tEFnyHlBitwN4gB.pdf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dop.edu.ru/upload/file_api/c5/7c/c57c1c89-31e7-4f46-811c-e45c28a3c5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cht.center/wp-content/uploads/2019/12/TSelevaya-model-razvitiya-reg-sistem-DO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2025-11-01T07:24:00Z</dcterms:created>
  <dcterms:modified xsi:type="dcterms:W3CDTF">2025-11-01T07:26:00Z</dcterms:modified>
</cp:coreProperties>
</file>