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11" w:rsidRPr="00432C07" w:rsidRDefault="00FC7511" w:rsidP="00FC7511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C7511" w:rsidRPr="00432C07" w:rsidRDefault="00FC7511" w:rsidP="00FC7511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C7511" w:rsidRPr="00432C07" w:rsidRDefault="00FC7511" w:rsidP="00FC7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7511" w:rsidRPr="00432C07" w:rsidRDefault="00FC7511" w:rsidP="00FC751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D8EF54" wp14:editId="27622503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1" name="Рисунок 1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32A01B" wp14:editId="6035189A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" name="Рисунок 2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511" w:rsidRPr="00432C07" w:rsidRDefault="00FC7511" w:rsidP="00FC7511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511" w:rsidRPr="00432C07" w:rsidRDefault="00FC7511" w:rsidP="00FC751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СИМФЕРОПОЛЬСКОГО РАЙОНА</w:t>
      </w:r>
    </w:p>
    <w:p w:rsidR="00FC7511" w:rsidRPr="00432C07" w:rsidRDefault="00FC7511" w:rsidP="00FC751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FC7511" w:rsidRPr="00432C07" w:rsidRDefault="00FC7511" w:rsidP="00FC751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Pr="00432C07" w:rsidRDefault="00FC7511" w:rsidP="00FC751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32C0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 ОБРАЗОВАНИЯ</w:t>
      </w:r>
      <w:proofErr w:type="gramEnd"/>
    </w:p>
    <w:p w:rsidR="00FC7511" w:rsidRPr="00432C07" w:rsidRDefault="00FC7511" w:rsidP="00FC751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Pr="00432C07" w:rsidRDefault="00FC7511" w:rsidP="00FC751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FC7511" w:rsidRPr="00432C07" w:rsidRDefault="00FC7511" w:rsidP="00FC75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7511" w:rsidRPr="00432C07" w:rsidRDefault="00FC7511" w:rsidP="00FC7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C7511" w:rsidRPr="00432C07" w:rsidRDefault="001738A1" w:rsidP="00FC7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="00FC7511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="00FC7511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</w:t>
      </w:r>
      <w:proofErr w:type="spellStart"/>
      <w:r w:rsidR="00FC7511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>г.Симферополь</w:t>
      </w:r>
      <w:proofErr w:type="spellEnd"/>
      <w:r w:rsidR="00FC7511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FC7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161</w:t>
      </w:r>
    </w:p>
    <w:p w:rsidR="00FC7511" w:rsidRPr="00432C07" w:rsidRDefault="00FC7511" w:rsidP="00FC75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511" w:rsidRPr="00432C07" w:rsidRDefault="00FC7511" w:rsidP="00FC75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проведения Недели функционал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ьной грамотности обучающихся в 7</w:t>
      </w: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классах общеобразовательных   организаций в 2024/2025 учебном году</w:t>
      </w:r>
    </w:p>
    <w:p w:rsidR="00FC7511" w:rsidRPr="00432C07" w:rsidRDefault="00FC7511" w:rsidP="00FC75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7511" w:rsidRPr="00432C07" w:rsidRDefault="00FC7511" w:rsidP="00FC75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приказов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 и от </w:t>
      </w:r>
      <w:r w:rsidR="001E6C08" w:rsidRPr="001E6C08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13.01.2025 № 45</w:t>
      </w:r>
      <w:r w:rsidRPr="001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Недели функционал</w:t>
      </w:r>
      <w:r w:rsidR="001E6C08" w:rsidRPr="001E6C0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грамотности обучающихся в 7</w:t>
      </w:r>
      <w:r w:rsidRPr="001E6C08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 на 2024/2025 учебный год» с целью выполнения мероприятий по выстраиванию  муниципальной системы оценки качества на основе практики международны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сравнительных исследований в 7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общеобразовательных учреждений  района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27.01.2025 по 03.02.2025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Неделя функциональной грамотности по направлениям: читательская грамотность; математическая грамотность; естественно-научная грамотность; финансовая грамотность; креативное мышление и глобальные компетенции с целью выявления уровня </w:t>
      </w:r>
      <w:proofErr w:type="spellStart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у учащихся 7-х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стандартами.</w:t>
      </w:r>
      <w:r w:rsidRPr="00432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составляло 40 минут.</w:t>
      </w:r>
    </w:p>
    <w:p w:rsidR="00FC7511" w:rsidRDefault="00FC7511" w:rsidP="00FC75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районе </w:t>
      </w:r>
      <w:r w:rsidR="0017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7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классов. </w:t>
      </w:r>
    </w:p>
    <w:p w:rsidR="001738A1" w:rsidRPr="001738A1" w:rsidRDefault="001738A1" w:rsidP="00173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«Читательская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приняло</w:t>
      </w:r>
      <w:r w:rsidRPr="00D62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 </w:t>
      </w:r>
      <w:r w:rsidRPr="00AB3CC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809</w:t>
      </w:r>
      <w:r w:rsidRPr="00AB3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из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 ОУ Симферопольского района</w:t>
      </w:r>
      <w:r w:rsidRPr="00D6235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</w:t>
      </w:r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>1809 участников мониторинга справились со всеми заданиями (100%).</w:t>
      </w:r>
    </w:p>
    <w:p w:rsidR="001738A1" w:rsidRDefault="001738A1" w:rsidP="00173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данных </w:t>
      </w:r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показывает, что в основном у учащихся 7 класса </w:t>
      </w:r>
      <w:proofErr w:type="spellStart"/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 сформированы на среднем уровне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(57%)</w:t>
      </w:r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B4967" w:rsidRDefault="004B4967" w:rsidP="004B4967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B4967">
        <w:rPr>
          <w:rFonts w:ascii="Times New Roman" w:eastAsia="Calibri" w:hAnsi="Times New Roman" w:cs="Times New Roman"/>
          <w:sz w:val="24"/>
          <w:szCs w:val="24"/>
        </w:rPr>
        <w:t>се участники исследования успешно справились с заданиями первого уровня</w:t>
      </w:r>
      <w:r w:rsidRPr="004B49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«Найти и извлечь»</w:t>
      </w:r>
      <w:r w:rsidRPr="004B4967">
        <w:rPr>
          <w:rFonts w:ascii="Times New Roman" w:eastAsia="Calibri" w:hAnsi="Times New Roman" w:cs="Times New Roman"/>
          <w:sz w:val="24"/>
          <w:szCs w:val="24"/>
        </w:rPr>
        <w:t>. Задания на проверку умения интегрировать и интерпретировать информацию текста вызвали зат</w:t>
      </w:r>
      <w:bookmarkStart w:id="0" w:name="_GoBack"/>
      <w:bookmarkEnd w:id="0"/>
      <w:r w:rsidRPr="004B4967">
        <w:rPr>
          <w:rFonts w:ascii="Times New Roman" w:eastAsia="Calibri" w:hAnsi="Times New Roman" w:cs="Times New Roman"/>
          <w:sz w:val="24"/>
          <w:szCs w:val="24"/>
        </w:rPr>
        <w:t>руднения. Самыми сложными оказались задания на проверку умения анализировать и оценивать содержание текста.</w:t>
      </w:r>
    </w:p>
    <w:p w:rsidR="004B4967" w:rsidRDefault="004B4967" w:rsidP="004B4967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967">
        <w:rPr>
          <w:rFonts w:ascii="Times New Roman" w:eastAsia="Calibri" w:hAnsi="Times New Roman" w:cs="Times New Roman"/>
          <w:sz w:val="24"/>
          <w:szCs w:val="24"/>
        </w:rPr>
        <w:t>Учащиеся 7 классов владеют читательскими умениями на среднем уровне. При этом следует отметить, что более высокие результаты в ходе изучения уровня читательской грамотности достигнуты в основном благодаря успешному выполнению группы заданий, проверяющих умение находить информацию, заданную в явном виде.</w:t>
      </w:r>
    </w:p>
    <w:p w:rsidR="003A33FA" w:rsidRDefault="004B4967" w:rsidP="003A33F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9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Наибольшее количество ошибок допустили участники исследования при выполнении заданий, в которых было необходимо: постоянно обращаться к тексту в поисках ответа на заданный вопрос; </w:t>
      </w:r>
      <w:r w:rsidRPr="004B4967">
        <w:rPr>
          <w:rFonts w:ascii="Times New Roman" w:eastAsia="TimesNewRomanPSMT" w:hAnsi="Times New Roman" w:cs="Times New Roman"/>
          <w:sz w:val="24"/>
          <w:szCs w:val="24"/>
        </w:rPr>
        <w:t xml:space="preserve">выделять основную и второстепенную информацию; </w:t>
      </w:r>
      <w:r w:rsidRPr="004B4967">
        <w:rPr>
          <w:rFonts w:ascii="Times New Roman" w:eastAsia="Calibri" w:hAnsi="Times New Roman" w:cs="Times New Roman"/>
          <w:sz w:val="24"/>
          <w:szCs w:val="24"/>
        </w:rPr>
        <w:t>извлекать из текста единицы информации, объединенные общей темой; формулировать логичные умозаключения на основе информации, приведенной в тексте, приобретенных знаний и собственного опыта; излагать свои мысли в письменной форме; высказывать свои оценочные суждения и аргументировать свою точку зрения о прочитанном тексте; формулировать ответы, требующие свободной формы высказывания собственного мнения.</w:t>
      </w:r>
    </w:p>
    <w:p w:rsidR="003A33FA" w:rsidRDefault="004B4967" w:rsidP="003A33F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принимало участие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1813 обучающихся из 40 МБОУ Симферопольского района. Наибольшее количество участников, принимавших участие в мониторинге, в МБОУ: «Лицей Крымской весны» (120), «Молодежненская школа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2» </w:t>
      </w:r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(61), «Гвардейская школа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1» (94), «Гвардейская школа-гимназия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3» (74), «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» (157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Заречненскя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им.126 ОГББО» (85), «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школа-гимназия» (71), «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им.И.С.Тарасюка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» (69), «Гвардейская школа-гимназия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2» (63), «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им.Д.К.Ушинского</w:t>
      </w:r>
      <w:proofErr w:type="spellEnd"/>
      <w:r w:rsidRPr="004B4967">
        <w:rPr>
          <w:rFonts w:ascii="Times New Roman" w:eastAsia="Calibri" w:hAnsi="Times New Roman" w:cs="Times New Roman"/>
          <w:sz w:val="24"/>
          <w:szCs w:val="24"/>
          <w:lang w:eastAsia="ru-RU"/>
        </w:rPr>
        <w:t>» (64).</w:t>
      </w:r>
      <w:r w:rsidR="003A33FA" w:rsidRPr="003A33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33FA" w:rsidRDefault="003A33FA" w:rsidP="003A33F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Анализируя результаты мониторинга, можно констатировать, что лучше всего в ходе работы учащиеся справились с группой заданий, направленных на </w:t>
      </w:r>
      <w:r w:rsidRPr="003A33FA">
        <w:rPr>
          <w:rFonts w:ascii="Calibri" w:eastAsia="Calibri" w:hAnsi="Calibri" w:cs="Times New Roman"/>
          <w:sz w:val="24"/>
          <w:szCs w:val="24"/>
        </w:rPr>
        <w:t xml:space="preserve">умение  </w:t>
      </w:r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решать задачи, связанные с отношением, пропорциональностью величин, выполнять округление чисел, решать многошаговые текстовые задачи арифметическим способом. Это задания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2 (средний уровень сложности). Затруднения у обучающихся возникли при выполнении заданий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3,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4 (высокий уровень сложности). По итогам выпол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нения работы набрали в среднем </w:t>
      </w:r>
      <w:r w:rsidRPr="003A33FA">
        <w:rPr>
          <w:rFonts w:ascii="Times New Roman" w:eastAsia="Calibri" w:hAnsi="Times New Roman" w:cs="Times New Roman"/>
          <w:sz w:val="24"/>
          <w:szCs w:val="24"/>
        </w:rPr>
        <w:t>0б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23%, 1б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40%, 2б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37%.</w:t>
      </w:r>
    </w:p>
    <w:p w:rsidR="003A33FA" w:rsidRDefault="003A33FA" w:rsidP="003A33F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3FA">
        <w:rPr>
          <w:rFonts w:ascii="Times New Roman" w:eastAsia="Calibri" w:hAnsi="Times New Roman" w:cs="Times New Roman"/>
          <w:sz w:val="24"/>
          <w:szCs w:val="24"/>
        </w:rPr>
        <w:t>Наибольший процент невыполнения заданий (0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баллов в среднем по всем заданиям) в МБОУ: «Пожарская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54%,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Укромновская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58%, «Мирновская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им.Н.Н.Белова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52%,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49%.</w:t>
      </w:r>
    </w:p>
    <w:p w:rsidR="003A33FA" w:rsidRDefault="003A33FA" w:rsidP="003A33F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3FA">
        <w:rPr>
          <w:rFonts w:ascii="Times New Roman" w:eastAsia="Calibri" w:hAnsi="Times New Roman" w:cs="Times New Roman"/>
          <w:sz w:val="24"/>
          <w:szCs w:val="24"/>
        </w:rPr>
        <w:t>Наибольший процент выполнения заданий, оцениваемых одним баллом в МБОУ: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Укромновская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28%,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Кленовская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основная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Pr="003A33FA">
        <w:rPr>
          <w:rFonts w:ascii="Times New Roman" w:eastAsia="Calibri" w:hAnsi="Times New Roman" w:cs="Times New Roman"/>
          <w:sz w:val="24"/>
          <w:szCs w:val="24"/>
        </w:rPr>
        <w:t>22%. Наибольший процент заданий, оцениваемых одним баллом, выполнили в МБОУ: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Новоандреевская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им.В.А.Осипова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80%,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Добровская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школа-гимназия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им.Я.М.Слонимского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71%,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Кольчугинская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им.Г.Н.Авраамова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93%,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Кольчугинская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2 с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крымскотатарским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языком обучения»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66%, «Лицей Крымской весны»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71%,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</w:rPr>
        <w:t>Залесская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</w:rPr>
        <w:t>71%.</w:t>
      </w:r>
    </w:p>
    <w:p w:rsidR="000437BD" w:rsidRDefault="003A33FA" w:rsidP="003A33F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задания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3,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4 (задание высокого уровня сложности) функциональной математической грамотности необходимо применить математические знания в различных контек</w:t>
      </w:r>
      <w:r w:rsidR="000437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стах. Данные задания выполнили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не справились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31%, 43%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справились частично. </w:t>
      </w:r>
    </w:p>
    <w:p w:rsidR="003A33FA" w:rsidRDefault="003A33FA" w:rsidP="000437BD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Низкий процент выполнения заданий, оцениваемых в 2 балла в МБОУ: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им.В.А.Осипова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12%,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№1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им.Г.Н.Авраамова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3%, «Пожарская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4%. </w:t>
      </w:r>
      <w:r w:rsidR="000437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Высокий процент выполнения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заданий, оцениваемых в 2 балла в МБОУ: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56%, «Партизанская школа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им.В.П.Богданова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60%,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64%,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58%,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им.К.В.Варлыгина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60%,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53%, «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им.Д.К.Ушинского</w:t>
      </w:r>
      <w:proofErr w:type="spellEnd"/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Calibri" w:hAnsi="Times New Roman" w:cs="Times New Roman"/>
          <w:sz w:val="24"/>
          <w:szCs w:val="24"/>
          <w:lang w:eastAsia="ru-RU"/>
        </w:rPr>
        <w:t>57%.</w:t>
      </w:r>
    </w:p>
    <w:p w:rsidR="003A33FA" w:rsidRPr="003A33FA" w:rsidRDefault="003A33FA" w:rsidP="003A33FA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у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 xml:space="preserve">ровень освоения основных компетенций, определяющих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7A5A17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математической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 xml:space="preserve">грамотности,  средний и ниже. Лучше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lastRenderedPageBreak/>
        <w:t>всего обучающиеся выполнили задание среднего уровня сложности, процент выполнения-80%.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С заданиями высокого уровня сложности полностью справились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26% 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При этом значительная часть учащихся даже на фоне интереса к описанной</w:t>
      </w:r>
      <w:r w:rsidRPr="003A33F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A33F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3A33F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3A33F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 w:rsidRPr="003A33F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3A33F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текст, выбрать информацию, применить предложенные в качестве дополнительных</w:t>
      </w:r>
      <w:r w:rsidRPr="003A33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сведений факты или формулы, вычленить из реальной ситуации предметные</w:t>
      </w:r>
      <w:r w:rsidRPr="003A33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аспекты. Многие учащиеся испытывают серьезные затруднения при вычленении необходимой информации из текста, таблиц, диаграмм и схем. Ответы</w:t>
      </w:r>
      <w:r w:rsidRPr="003A33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учащихся демонстрируют неумение переводить информацию из одного формата в другой. Большинство учащихся испытывают затруднения с переносом</w:t>
      </w:r>
      <w:r w:rsidRPr="003A33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3A33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3A33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знаний в</w:t>
      </w:r>
      <w:r w:rsidRPr="003A33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</w:rPr>
        <w:t>новые ситуации.</w:t>
      </w:r>
    </w:p>
    <w:p w:rsidR="007A5A17" w:rsidRPr="007A5A17" w:rsidRDefault="003A33FA" w:rsidP="007A5A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мониторинге</w:t>
      </w:r>
      <w:r w:rsidRPr="0086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Естественнонаучной грамотности </w:t>
      </w: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</w:t>
      </w:r>
      <w:r w:rsidR="007A5A17"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1793 учащихся 7-х классов района, что составляет 82,2 % от общего количества учащихся (2180 человек). </w:t>
      </w:r>
      <w:proofErr w:type="spellStart"/>
      <w:r w:rsidR="007A5A17"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="007A5A17"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научное объяснение явлений, понимание особенностей естественнонаучного исследования, интерпретация данных и использование доказательств для получения выводов. </w:t>
      </w:r>
    </w:p>
    <w:p w:rsidR="007A5A17" w:rsidRPr="007A5A17" w:rsidRDefault="007A5A17" w:rsidP="007A5A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221 учащихся (12,3%), средний- 1022 учащихся (57%), высокий - 550 учащихся (30,7%) района.  </w:t>
      </w:r>
    </w:p>
    <w:p w:rsidR="007A5A17" w:rsidRPr="007A5A17" w:rsidRDefault="007A5A17" w:rsidP="007A5A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показали учащиеся 7 классов во всех МБОУ, но наиболее высокий этот показатель в МБОУ: 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Труда Тарасю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Ивана Степановича» (68,7%), </w:t>
      </w: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(65%), 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(60,9%), 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(58,3%), «Перовская школа-гимназия имени Г. А. 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(55,3%), «Гвардейская школа-гимназия № 2» (52,4%).</w:t>
      </w:r>
    </w:p>
    <w:p w:rsidR="000437BD" w:rsidRDefault="007A5A17" w:rsidP="007A5A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класса, принявших участие в мониторинге, отс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утствует низкий уровень знаний </w:t>
      </w: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выполненную работу в МБОУ: 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7A5A17" w:rsidRPr="007A5A17" w:rsidRDefault="007A5A17" w:rsidP="007A5A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показатель низкого уровня в МБОУ: «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ла» (40%), </w:t>
      </w: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«Украинская школа» (36,7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(33,3%), </w:t>
      </w: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«Пожарская школа» (32,4%). </w:t>
      </w:r>
    </w:p>
    <w:p w:rsidR="003A33FA" w:rsidRDefault="007A5A17" w:rsidP="007A5A1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свидетельствуют о том, что уровень </w:t>
      </w:r>
      <w:proofErr w:type="spellStart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A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естественнонаучной функциональной грамотности на среднем уровне - 57 % от всех учащихся, принявших участие в мониторинге.</w:t>
      </w:r>
    </w:p>
    <w:p w:rsidR="00C245DD" w:rsidRDefault="003A33FA" w:rsidP="00C245D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грамотность»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1751 учащихся (в прошлом учебном году - 1496 учащихся), что составило 81,12% (в прошлом учебном году - 77%) от общего числа обучающихс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437BD">
        <w:rPr>
          <w:rFonts w:ascii="Times New Roman" w:eastAsia="Times New Roman" w:hAnsi="Times New Roman" w:cs="Times New Roman"/>
          <w:sz w:val="24"/>
          <w:szCs w:val="24"/>
          <w:lang w:eastAsia="ru-RU"/>
        </w:rPr>
        <w:t>7-х классах. Справили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выполнением заданий мониторинга 1307 учащихся (в прошлом учебном году - 1077 учащихся), что составляет 75% (в прошлом учебном году - 72%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справилось – 444 учащихся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прошлом учебном году - 419 учащихся), что составило 25% (в прошлом учебном году - 28%). Уровень выполнения зад</w:t>
      </w:r>
      <w:r w:rsid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по району составил 63,24%.</w:t>
      </w:r>
    </w:p>
    <w:p w:rsidR="003A33FA" w:rsidRDefault="003A33FA" w:rsidP="00C245D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выполнения заданий выше, чем по району, показали учащиеся 17 МБОУ:</w:t>
      </w:r>
      <w:r w:rsidRPr="003A33F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(97,20%),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ожарская школа» (96,42%),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онстантиновская школа» (83,25%),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«Урожайновская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им. К.В. Варлыгина» (80,00%),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(76,72%),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«Партизанская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им. А.П. Богданова» (76,57%), «Винницкая школа» (75,63%),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(74,75%),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(71,43%)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«Лицей Крымской весны» (68,12%),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 (66,96%),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(65,35%), «Гвардейская школа № (65,24%), «Украинская школа» (65,02%),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126 ОГББО» (64,89%),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(64,76%) и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«Первомайская школа» (64,29%).</w:t>
      </w:r>
    </w:p>
    <w:p w:rsidR="00323284" w:rsidRDefault="003A33FA" w:rsidP="0032328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1 (Содержательная область оценки: Деньги. 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Выявление финансовой информации) и справились с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 на 100% учащиеся МБОУ: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Наименьший процент правильных ответов дали учащиеся МБОУ «Урожайновская школа им. К.В. Варлыгина» (43,33%).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МБОУ справились с выполнением задания на 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96%.</w:t>
      </w:r>
    </w:p>
    <w:p w:rsidR="000437BD" w:rsidRDefault="003A33FA" w:rsidP="0032328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2 (Содержательная область оценки: Деньги. 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Анализ информации в финансовом контексте) и справились с ним на 100% учащиеся МБОУ 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323284" w:rsidRDefault="003A33FA" w:rsidP="0032328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правильных ответов дали учащиеся МБОУ: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«Молодежненская школа № 2» (22,95%)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(23,08%)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(34,09%)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(34,38%)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(34,78%)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«Донская школа им. В.П. Давиденко» (37,93%)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«Мирновская школа № 2» (40,35%)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(43,69%)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МБОУ справились с выполнением задания на 50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96%.</w:t>
      </w:r>
    </w:p>
    <w:p w:rsidR="001410A7" w:rsidRDefault="003A33FA" w:rsidP="001410A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3 (Содержательная область оценки: Деньги. 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Оценка финансовой проблемы) и справились с ним на 100% учащиеся МБОУ: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«Партизанская школа им. А.П. Богданова»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енская</w:t>
      </w:r>
      <w:proofErr w:type="spellEnd"/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правильных ответов дали учащиеся МБОУ: «Молодежненская школа № 2» (4,92%)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«Пожарская школа» (31,43%)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«Кубанская школа» (38,46%)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школа-гимназия № 3» (39,19%).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МБОУ справились с выполнением задания на 56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99%.</w:t>
      </w:r>
    </w:p>
    <w:p w:rsidR="000437BD" w:rsidRDefault="003A33FA" w:rsidP="001410A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4 (Содержательная область оценки: Деньги. 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Применение финансовых знаний и понимание) и справились с ним на 100% учащиеся МБОУ: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Крымской весны»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10A7" w:rsidRDefault="003A33FA" w:rsidP="001410A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правильных ответов дали учащиеся МБОУ: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олодежненская школа № 2» (3,28%),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(13,64%)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«Николаевская школа» (16,67%)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(20%)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«Донская школа им. В.П. Давиденко» (27,59%)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«Кубанская школа» (38,46%)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(39,13%)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(40,63%)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К.Д. Ушинского» (46,67%)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школа-гимназия № 3» (47,30%)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школа-гимназия № 2» (48,53%)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(48,72%). Остальные МБОУ справились с выполнением задания на 52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96%.</w:t>
      </w:r>
    </w:p>
    <w:p w:rsidR="001410A7" w:rsidRDefault="003A33FA" w:rsidP="001410A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вызвал вопрос, связанный с выявлением финансовой информации, а именно – определению видов мошеннической деятельности (задание 1). В этом задании наблюдается самое большое количество учащихся, не сумевших дать правильный ответ. Чтобы преодолеть данную проблему, можно порекомендовать включать в уроки практико-ориентированные задания, направленные на выявление способов и видов мошенничества с банковской картой, движимым и недвижимым имуществом, кредитом и т.д.</w:t>
      </w:r>
    </w:p>
    <w:p w:rsidR="001410A7" w:rsidRDefault="003A33FA" w:rsidP="001410A7">
      <w:pPr>
        <w:spacing w:after="0"/>
        <w:ind w:firstLine="539"/>
        <w:jc w:val="both"/>
      </w:pPr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выяснилось, что высокий и средний уровень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у учащихся Симферопольского района составил 84% (в прошлом учебном году - 71%), ниже среднего – 12% (в прошлом учебном году - 24%), низкий уровень – 4% (в прошлом учебном году - 5%). В целом, наблюдается повышение показателей уровня </w:t>
      </w:r>
      <w:proofErr w:type="spellStart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грамотности.</w:t>
      </w:r>
      <w:r w:rsidR="001410A7" w:rsidRPr="001410A7">
        <w:t xml:space="preserve"> </w:t>
      </w:r>
    </w:p>
    <w:p w:rsidR="001410A7" w:rsidRPr="001410A7" w:rsidRDefault="001410A7" w:rsidP="001410A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Высокий уровень 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амотности (100%) наблюдается в </w:t>
      </w:r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3A33FA" w:rsidRDefault="001410A7" w:rsidP="001410A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процент низкого уровня 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наблюдается в МБОУ «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(38,64%), «Гвардейская школа-гимназия № 2» (32,35%), «Украинская школа» (31,25%)</w:t>
      </w:r>
      <w:r w:rsid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</w:t>
      </w:r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«Гвардейская школа-гимназия № 3» (31,08%).</w:t>
      </w:r>
    </w:p>
    <w:p w:rsidR="00C245DD" w:rsidRDefault="00C245DD" w:rsidP="001410A7">
      <w:pPr>
        <w:spacing w:after="0"/>
        <w:ind w:firstLine="539"/>
        <w:jc w:val="both"/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«Креативное мышление»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1682 обучающихся 7 классов из 39 школ Симферопольского района, что составило 75,8% от всех обучающихся 7 классов.</w:t>
      </w:r>
      <w:r w:rsidRPr="00C245DD">
        <w:t xml:space="preserve"> </w:t>
      </w:r>
    </w:p>
    <w:p w:rsidR="00C245DD" w:rsidRDefault="00C245DD" w:rsidP="001410A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мониторинге не приняли участие МБОУ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«Мирновская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1 им. Н.Н. Белова».</w:t>
      </w:r>
    </w:p>
    <w:p w:rsidR="00C245DD" w:rsidRDefault="00C245DD" w:rsidP="00C245D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итогов мониторинга креативное мышление сформировано у 30,5% (513 обучающихся), не сформировано у 11,7% (196 обучающихся). 57,8% (973 обучающихся) имеют средний уровень </w:t>
      </w:r>
      <w:proofErr w:type="spellStart"/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</w:p>
    <w:p w:rsidR="00C245DD" w:rsidRDefault="00C245DD" w:rsidP="00C245D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семиклассников вызвали задания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2 / 3,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/ 3. </w:t>
      </w:r>
    </w:p>
    <w:p w:rsidR="00C245DD" w:rsidRDefault="00C245DD" w:rsidP="00C245D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2/3 (содержательная область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нки: письменное самовыражение):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выдвинуть креативную идею и дать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азвёрнутый ответ в виде текста.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3/3 (содержательная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сть: письменное самовыражение):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доработать идею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требованием задания. </w:t>
      </w:r>
    </w:p>
    <w:p w:rsidR="00C245DD" w:rsidRDefault="00C245DD" w:rsidP="00C245D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типичны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ошибок при выполнении работы: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недостаточно точно выражают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письменной форме;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дают недостаточно развернутые ответы;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узкий кругозор не позволяет визуально </w:t>
      </w:r>
      <w:proofErr w:type="spellStart"/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низком уровне оказалось задание, где необходимо было выразить идею в виде текста;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 умеют строить развернутые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 на тему социальных проблем; </w:t>
      </w:r>
      <w:r w:rsidRP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учащиеся приводят аргументы, призванные убедить в необходимости привлечения внимания к проблеме загрязнения окружающей среды.</w:t>
      </w:r>
    </w:p>
    <w:p w:rsidR="00C245DD" w:rsidRPr="00C245DD" w:rsidRDefault="00C245DD" w:rsidP="00C245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DD">
        <w:rPr>
          <w:rFonts w:ascii="Times New Roman" w:eastAsia="Calibri" w:hAnsi="Times New Roman" w:cs="Times New Roman"/>
          <w:sz w:val="24"/>
          <w:szCs w:val="24"/>
        </w:rPr>
        <w:t>Справились с мониторинговой работой (КМ сформировано от 100% до 50%) обучающиеся следующих МБОУ: «Кубанская школа им. С.П. Королёва» (50%), «Первомайская школа» (63,6%), «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Перевальненская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школа им. Ф.И. Федоренко» (53,3%), «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школа» (52,2%), «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Трудовская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школа» (60%), «Урожайновская школа им. К.В. Варлыгина» (56,9%).</w:t>
      </w:r>
    </w:p>
    <w:p w:rsidR="00C245DD" w:rsidRDefault="00C245DD" w:rsidP="00C245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Низкий уровень 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сформированнисти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креативного мышления обучающихся в МБОУ (КМ не сформировано): «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Маленская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школа» (54%), «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Широковская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школа» (50%).</w:t>
      </w:r>
    </w:p>
    <w:p w:rsidR="00C245DD" w:rsidRPr="00C245DD" w:rsidRDefault="00C245DD" w:rsidP="00C245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В целом характеризуя уровень 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креативного мышления обучающихся, целесообразно принимать во внимание ряд важных 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критериально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-оценочных характеристик: умение выделять главное, определять проблему, умение устанавливать причинно-следственные связи, определять необходимую </w:t>
      </w:r>
      <w:proofErr w:type="spellStart"/>
      <w:r w:rsidRPr="00C245DD">
        <w:rPr>
          <w:rFonts w:ascii="Times New Roman" w:eastAsia="Calibri" w:hAnsi="Times New Roman" w:cs="Times New Roman"/>
          <w:sz w:val="24"/>
          <w:szCs w:val="24"/>
        </w:rPr>
        <w:t>информацияю</w:t>
      </w:r>
      <w:proofErr w:type="spellEnd"/>
      <w:r w:rsidRPr="00C245DD">
        <w:rPr>
          <w:rFonts w:ascii="Times New Roman" w:eastAsia="Calibri" w:hAnsi="Times New Roman" w:cs="Times New Roman"/>
          <w:sz w:val="24"/>
          <w:szCs w:val="24"/>
        </w:rPr>
        <w:t xml:space="preserve"> для выполнения задания, умение выполнять задания, опираясь на субъективный опыт; умение выполнять задания с помощью эвристических методов творчества; умение выполнять задания с помощью алгоритмических методов творчества.</w:t>
      </w:r>
    </w:p>
    <w:p w:rsidR="003662B5" w:rsidRPr="003662B5" w:rsidRDefault="00C245DD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«Глобальные компетенции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1628</w:t>
      </w:r>
      <w:r w:rsidR="003662B5" w:rsidRPr="003662B5">
        <w:t xml:space="preserve"> </w:t>
      </w:r>
      <w:r w:rsidR="003662B5"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из 38 МБОУ Симферопольского района, при этом не предоставили сведений об участии 2 МБОУ: «Гвардейская школа-гимназия № 3» и «Донская школа </w:t>
      </w:r>
      <w:proofErr w:type="spellStart"/>
      <w:r w:rsidR="003662B5"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им.В.П.Давиденко</w:t>
      </w:r>
      <w:proofErr w:type="spellEnd"/>
      <w:r w:rsidR="003662B5"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62B5" w:rsidRP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1 и справились с ним на 100% учащиеся МБОУ: «Винницкая школа»,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«Украинская школа». Наименьший процент правильных ответов дали учащиеся МБОУ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(40,74%). Остальные МБОУ справились с выполнением задания на 46% - 96%.</w:t>
      </w:r>
    </w:p>
    <w:p w:rsidR="000437BD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выполнили задание 2 и справились с ним на 100% учащиеся МБОУ: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им. 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Г.Н.». </w:t>
      </w:r>
    </w:p>
    <w:p w:rsidR="003662B5" w:rsidRP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правильных ответов дали учащиеся МБОУ «Пожарская школа» (27,27%). Остальные МБОУ справились с выполнением задания на 33% - 96%.</w:t>
      </w:r>
    </w:p>
    <w:p w:rsidR="000437BD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3 и справились с ним на 100% учащиеся МБОУ: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и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3662B5" w:rsidRP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правильных ответов дали учащиеся МБОУ «Пожарская школа» (30,30%). Остальные МБОУ справились с выполнением задания на 31% - 95%.</w:t>
      </w:r>
    </w:p>
    <w:p w:rsidR="000437BD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4 и справились с ним на 100% учащиеся МБОУ: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3662B5" w:rsidRP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процент правильных ответов дали учащиеся МБОУ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(0%). Остальные МБОУ справились с выполнением задания на 44% - 96%.</w:t>
      </w:r>
    </w:p>
    <w:p w:rsidR="000437BD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5 и справились с ним на 100% учащиеся МБОУ: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3662B5" w:rsidRP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Наименьший процент правильных ответов дали учащиеся МБОУ «Гвардейская школа № 2» (3,4%) и МБОУ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(3,6%). Остальные МБОУ справились с выполнением задания на 12% - 90%.</w:t>
      </w:r>
    </w:p>
    <w:p w:rsidR="003662B5" w:rsidRP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успешность выполнения заданий показали обучающиеся из 22 МБОУ, в том числе – МБОУ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(82,50%), МБОУ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(84,38%), МБОУ «Кубанская школа им. 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С.П.Королёва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» (84,13%).</w:t>
      </w:r>
    </w:p>
    <w:p w:rsid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успешность выполнения заданий наблюдается в 16 МБОУ, в том числе – МБОУ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Ф.И.Федоренко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» (18,75%), МБОУ «Константиновская школа» (31,25%), МБОУ «Пожарская школа» (25,94%) и МБОУ «</w:t>
      </w:r>
      <w:proofErr w:type="spellStart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(31,71%).</w:t>
      </w:r>
    </w:p>
    <w:p w:rsidR="003662B5" w:rsidRPr="003662B5" w:rsidRDefault="003662B5" w:rsidP="003662B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участников (723 – 37,6%) справились с заданиями на высоком уровне, выполнили от 66% до 100% заданий и показали достаточное понимание проблемы.</w:t>
      </w:r>
    </w:p>
    <w:p w:rsidR="00FC7511" w:rsidRDefault="003662B5" w:rsidP="002725E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выполнения заданий в среднем по району составила 59,14%.</w:t>
      </w:r>
    </w:p>
    <w:p w:rsidR="00FC7511" w:rsidRPr="009A036D" w:rsidRDefault="00FC7511" w:rsidP="00FC75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Подведя итоги, необходимо отметить, что большое значение в формировании функциональной грамотности школьников имеет сотрудничество учеников, учителей, родителей. Если не будет понимания и гармонии в отношениях, учебно-воспитательный процесс не будет результативным. Достигнуть высоких результатов можно только в случае грамотно построенного учебно-воспитательного процесса с привлечением всех его участников</w:t>
      </w:r>
    </w:p>
    <w:p w:rsidR="00FC7511" w:rsidRPr="009A036D" w:rsidRDefault="00FC7511" w:rsidP="00FC7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Pr="009A036D" w:rsidRDefault="00FC7511" w:rsidP="00FC7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C7511" w:rsidRPr="009A036D" w:rsidRDefault="00FC7511" w:rsidP="00FC7511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Default="00FC7511" w:rsidP="00FC7511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функциональной грамотности по всем направлениям.</w:t>
      </w:r>
    </w:p>
    <w:p w:rsidR="007A5A17" w:rsidRPr="009A036D" w:rsidRDefault="007A5A17" w:rsidP="007A5A17">
      <w:pPr>
        <w:spacing w:after="0" w:line="276" w:lineRule="auto"/>
        <w:ind w:lef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25.05.2025</w:t>
      </w:r>
    </w:p>
    <w:p w:rsidR="00FC7511" w:rsidRPr="009A036D" w:rsidRDefault="00FC7511" w:rsidP="00FC7511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общеобразовательных учреждений района:</w:t>
      </w:r>
    </w:p>
    <w:p w:rsidR="00FC7511" w:rsidRPr="009A036D" w:rsidRDefault="000437BD" w:rsidP="00FC7511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учителей-предметников с результатами мониторинга по функциональной грамотности по всем направлениям, и с основными затруднениями учащихся при выполнении предложенных заданий.</w:t>
      </w:r>
      <w:r w:rsidR="00FC7511" w:rsidRPr="00FD3369">
        <w:rPr>
          <w:rFonts w:ascii="Times New Roman" w:eastAsia="Calibri" w:hAnsi="Times New Roman" w:cs="Times New Roman"/>
          <w:sz w:val="24"/>
          <w:szCs w:val="24"/>
        </w:rPr>
        <w:t xml:space="preserve"> Акцентировать внимание педагогов на то</w:t>
      </w:r>
      <w:r w:rsidR="00FC7511">
        <w:rPr>
          <w:rFonts w:ascii="Times New Roman" w:eastAsia="Calibri" w:hAnsi="Times New Roman" w:cs="Times New Roman"/>
          <w:sz w:val="24"/>
          <w:szCs w:val="24"/>
        </w:rPr>
        <w:t>м, что формирование функциональной</w:t>
      </w:r>
      <w:r w:rsidR="00FC7511" w:rsidRPr="00FD3369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 должно осуществляться в процессе </w:t>
      </w:r>
      <w:r>
        <w:rPr>
          <w:rFonts w:ascii="Times New Roman" w:eastAsia="Calibri" w:hAnsi="Times New Roman" w:cs="Times New Roman"/>
          <w:sz w:val="24"/>
          <w:szCs w:val="24"/>
        </w:rPr>
        <w:t>обучения всем учебным предметам</w:t>
      </w:r>
    </w:p>
    <w:p w:rsidR="00FC7511" w:rsidRDefault="000437BD" w:rsidP="00FC7511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C751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2025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511" w:rsidRPr="009A036D" w:rsidRDefault="000437BD" w:rsidP="00FC7511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2.2.р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и утвердить комплекс мероприятий по формированию функциональной грамотности у обучающихся, по использованию электронного банка заданий для 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функциональной грамотности</w:t>
      </w:r>
    </w:p>
    <w:p w:rsidR="00FC7511" w:rsidRDefault="00FC7511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28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.02.2025;</w:t>
      </w:r>
    </w:p>
    <w:p w:rsidR="00FC7511" w:rsidRPr="009A036D" w:rsidRDefault="000437BD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2.3.в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вопросы формирования функциональной грамотности по ее различным направлениям в систему методической раб</w:t>
      </w:r>
      <w:r w:rsidR="00802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образовательной организации</w:t>
      </w:r>
    </w:p>
    <w:p w:rsidR="00FC7511" w:rsidRPr="009A036D" w:rsidRDefault="00FC7511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год;</w:t>
      </w:r>
    </w:p>
    <w:p w:rsidR="00FC7511" w:rsidRPr="009A036D" w:rsidRDefault="00802D4B" w:rsidP="00FC7511">
      <w:pPr>
        <w:tabs>
          <w:tab w:val="left" w:pos="426"/>
          <w:tab w:val="left" w:pos="1134"/>
        </w:tabs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развитие у учащихся умений использовать свои знания в разнообразных ситуациях, близких к реальным, при изучении предметов                                </w:t>
      </w:r>
    </w:p>
    <w:p w:rsidR="00FC7511" w:rsidRDefault="00FC7511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до 25.05.2025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511" w:rsidRPr="006C4C5F" w:rsidRDefault="00FC7511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МБОУ, обучающиеся которых показали высокие результаты по итогам мониторинга ФГ, в соответствии с планом работы МБОУ ДО «ЦДЮТ», спланировать и подготовить выступление о системе работы учителей по достижению высоких показателей успешности выполнения заданий мониторинга ФГ для педагогических работников Симферопольского района.</w:t>
      </w:r>
    </w:p>
    <w:p w:rsidR="00FC7511" w:rsidRPr="006C4C5F" w:rsidRDefault="00FC7511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год;</w:t>
      </w:r>
    </w:p>
    <w:p w:rsidR="00FC7511" w:rsidRPr="006C4C5F" w:rsidRDefault="00FC7511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МБОУ, обучающиеся которых показали низкие результаты по итогам мониторинга, проанализировать причины низкой результативности участия </w:t>
      </w:r>
      <w:r w:rsidR="001E6C08" w:rsidRPr="001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семиклассников </w:t>
      </w:r>
      <w:r w:rsidRPr="001E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мониторинге, итоги заслушать на совещании при директоре </w:t>
      </w:r>
    </w:p>
    <w:p w:rsidR="00FC7511" w:rsidRDefault="00FC7511" w:rsidP="00FC7511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Февраль, 2025;</w:t>
      </w:r>
    </w:p>
    <w:p w:rsidR="001410A7" w:rsidRPr="001410A7" w:rsidRDefault="001410A7" w:rsidP="00C245DD">
      <w:pPr>
        <w:tabs>
          <w:tab w:val="left" w:pos="567"/>
        </w:tabs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 «Мирновская школа № 1</w:t>
      </w:r>
      <w:r w:rsidR="0080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802D4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Н.Н.Белова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(Гуртовой А.А.), «Партизанская школа им. А.П. Богданова» (Терещенко А.В.), «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Кибирева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Т.А.), «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им. 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Г.Н.» (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Лущик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О.А.), «</w:t>
      </w:r>
      <w:proofErr w:type="spellStart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(Борисенко Т.А.), «Лицей Крымской весны» (Гончарова Н.Г.) проанализировать причины частичного заполнения отчетов мониторинга по финансовой грамотности, предоставить объяснительную записку по невыполнению требований к отчетности по результатам мониторинга методисту Василевич О.С. на электронный адрес </w:t>
      </w:r>
      <w:hyperlink r:id="rId9" w:history="1">
        <w:r w:rsidRPr="00141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vasilevichcdut</w:t>
        </w:r>
        <w:r w:rsidRPr="00141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41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141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41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8356E" w:rsidRDefault="001410A7" w:rsidP="0088356E">
      <w:pPr>
        <w:tabs>
          <w:tab w:val="left" w:pos="142"/>
          <w:tab w:val="left" w:pos="567"/>
        </w:tabs>
        <w:spacing w:after="0" w:line="240" w:lineRule="auto"/>
        <w:ind w:left="142"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C245D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8356E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</w:p>
    <w:p w:rsidR="001410A7" w:rsidRPr="00FD4C9A" w:rsidRDefault="0088356E" w:rsidP="00802D4B">
      <w:pPr>
        <w:tabs>
          <w:tab w:val="left" w:pos="426"/>
          <w:tab w:val="left" w:pos="1134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Директорам МБОУ </w:t>
      </w:r>
      <w:r w:rsidRPr="0088356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 № 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А.И,),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А.В.), </w:t>
      </w:r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«Константиновская школа» (</w:t>
      </w:r>
      <w:proofErr w:type="spellStart"/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Маршалок</w:t>
      </w:r>
      <w:proofErr w:type="spellEnd"/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М.В.), «Николаевская школа» (Бут Е.А.), </w:t>
      </w:r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В.А.Осипова</w:t>
      </w:r>
      <w:proofErr w:type="spellEnd"/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(Калугина И.Б.), «Первомайская школа» (Янковская Т.С.), «</w:t>
      </w:r>
      <w:proofErr w:type="spellStart"/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Дамадаева</w:t>
      </w:r>
      <w:proofErr w:type="spellEnd"/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О.А.)</w:t>
      </w:r>
      <w:r w:rsidR="00FD4C9A" w:rsidRPr="00FD4C9A">
        <w:t xml:space="preserve"> </w:t>
      </w:r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неверного</w:t>
      </w:r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отчетов монит</w:t>
      </w:r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оринга по глобальным компетенциям</w:t>
      </w:r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предоставить объяснительную записку по невыполнению требований к отчетности по результатам мон</w:t>
      </w:r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иторинга методисту Юрченко О.А</w:t>
      </w:r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электронный адрес</w:t>
      </w:r>
      <w:r w:rsid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oxy</w:t>
        </w:r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</w:t>
        </w:r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little</w:t>
        </w:r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FD4C9A" w:rsidRPr="00FD4C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D4C9A" w:rsidRPr="00BE43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D4C9A" w:rsidRPr="00F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C9A" w:rsidRPr="00FD4C9A" w:rsidRDefault="00FD4C9A" w:rsidP="00802D4B">
      <w:pPr>
        <w:tabs>
          <w:tab w:val="left" w:pos="426"/>
          <w:tab w:val="left" w:pos="1134"/>
        </w:tabs>
        <w:spacing w:after="0" w:line="240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19.02.2025 </w:t>
      </w:r>
    </w:p>
    <w:p w:rsidR="00FC7511" w:rsidRPr="006C4C5F" w:rsidRDefault="00FC7511" w:rsidP="00FC7511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МБОУ:</w:t>
      </w:r>
    </w:p>
    <w:p w:rsidR="00FC7511" w:rsidRDefault="00802D4B" w:rsidP="00FC7511">
      <w:pPr>
        <w:pStyle w:val="a5"/>
        <w:numPr>
          <w:ilvl w:val="1"/>
          <w:numId w:val="1"/>
        </w:numPr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C7511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качественного формирования навыков </w:t>
      </w:r>
      <w:r w:rsidR="00FC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 учащихся </w:t>
      </w:r>
      <w:r w:rsidR="00FC7511"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необходимо предусмотреть задания, формирующие следующие умения: выявлять мошеннические действия, приводящие к возникновению финансовых проблем, называть способы и виды мошенничества, знать и применять советы банковских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по защите банковских карт;</w:t>
      </w:r>
    </w:p>
    <w:p w:rsidR="00FC7511" w:rsidRPr="006C4C5F" w:rsidRDefault="00802D4B" w:rsidP="00FC7511">
      <w:pPr>
        <w:pStyle w:val="a5"/>
        <w:numPr>
          <w:ilvl w:val="1"/>
          <w:numId w:val="1"/>
        </w:numPr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в</w:t>
      </w:r>
      <w:r w:rsidR="00FC7511" w:rsidRPr="006C4C5F">
        <w:rPr>
          <w:rFonts w:ascii="Times New Roman" w:eastAsia="Calibri" w:hAnsi="Times New Roman" w:cs="Times New Roman"/>
          <w:sz w:val="24"/>
        </w:rPr>
        <w:t>ключать в уроки практико-ориентированные задания, направленные на развитие у учащихся общего подхода к принятию финансово грамотного решения, анализ основных методов обмана граждан, применяемых мошенниками, интерпретацию информации о финансовых рисках, рассматривать примеры финансового мошенничества в истории</w:t>
      </w:r>
      <w:r>
        <w:rPr>
          <w:rFonts w:ascii="Times New Roman" w:eastAsia="Calibri" w:hAnsi="Times New Roman" w:cs="Times New Roman"/>
          <w:sz w:val="24"/>
        </w:rPr>
        <w:t>;</w:t>
      </w:r>
    </w:p>
    <w:p w:rsidR="00FC7511" w:rsidRPr="009A036D" w:rsidRDefault="00802D4B" w:rsidP="00FC7511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повышения мотивации к обучению на уроках использовать элементы инновационных технологий, применять методы активного обучения, применять задания, 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способствующие развитию у учащихся навыков применения знаний для решения различных жизненных ситуаций, поискового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исследовательского характера;</w:t>
      </w:r>
    </w:p>
    <w:p w:rsidR="00FC7511" w:rsidRPr="009A036D" w:rsidRDefault="00802D4B" w:rsidP="00FC7511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повышение собственного методического уровня в вопросах формирования ФГ путем участия в различных мероприятиях: РМО, СП, КПК, тестированиях и </w:t>
      </w:r>
      <w:proofErr w:type="spellStart"/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FC7511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разнообразных площадках</w:t>
      </w:r>
    </w:p>
    <w:p w:rsidR="00FC7511" w:rsidRPr="009A036D" w:rsidRDefault="00FC7511" w:rsidP="00FC7511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до 25.05.2025;</w:t>
      </w:r>
    </w:p>
    <w:p w:rsidR="00FC7511" w:rsidRPr="009A036D" w:rsidRDefault="00FC7511" w:rsidP="00FC7511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сертифицированные задания по функциональной грамотности, опубликованные в открытом доступе.</w:t>
      </w:r>
    </w:p>
    <w:p w:rsidR="00FC7511" w:rsidRPr="009A036D" w:rsidRDefault="00FC7511" w:rsidP="00FC7511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исполнение данного приказа возложить на методиста МБОУ ДО «ЦДЮТ» Юрченко О.А.</w:t>
      </w:r>
    </w:p>
    <w:p w:rsidR="00FC7511" w:rsidRPr="009A036D" w:rsidRDefault="00FC7511" w:rsidP="00FC7511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данного приказа возложить на директора МБОУ ДО «ЦДЮТ» Т.Н. </w:t>
      </w:r>
      <w:proofErr w:type="spellStart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511" w:rsidRDefault="00FC7511" w:rsidP="00FC7511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Default="00FC7511" w:rsidP="00FC7511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Pr="00432C07" w:rsidRDefault="00FC7511" w:rsidP="00FC7511">
      <w:pPr>
        <w:tabs>
          <w:tab w:val="left" w:pos="426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образования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С.В.Дмитрова</w:t>
      </w:r>
      <w:proofErr w:type="spellEnd"/>
    </w:p>
    <w:p w:rsidR="00FC7511" w:rsidRPr="00432C07" w:rsidRDefault="00FC7511" w:rsidP="00FC7511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Pr="00432C07" w:rsidRDefault="00FC7511" w:rsidP="00FC7511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Default="00FC7511" w:rsidP="00C115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11" w:rsidRDefault="00FC7511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17" w:rsidRDefault="007A5A17" w:rsidP="00FC75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30" w:rsidRDefault="00C11530" w:rsidP="00FC7511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FC7511" w:rsidRPr="00432C07" w:rsidRDefault="00FC7511" w:rsidP="00FC7511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Юрченко Оксана Анатольевна,</w:t>
      </w:r>
    </w:p>
    <w:p w:rsidR="00FC7511" w:rsidRDefault="00FC7511" w:rsidP="00FC751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14"/>
          <w:szCs w:val="24"/>
          <w:lang w:eastAsia="ru-RU"/>
        </w:rPr>
        <w:t>+7 978 020 34 53</w:t>
      </w:r>
    </w:p>
    <w:p w:rsidR="00FC7511" w:rsidRPr="00432C07" w:rsidRDefault="00FC7511" w:rsidP="00FC7511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02D4B" w:rsidRDefault="00802D4B" w:rsidP="00FC75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2D4B" w:rsidRDefault="00802D4B" w:rsidP="00FC75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2D4B" w:rsidRDefault="00802D4B" w:rsidP="00FC75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2D4B" w:rsidRDefault="00802D4B" w:rsidP="00FC75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7511" w:rsidRPr="00432C07" w:rsidRDefault="00FC7511" w:rsidP="00FC75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 приказом управления образования</w:t>
      </w:r>
    </w:p>
    <w:p w:rsidR="00FC7511" w:rsidRPr="00432C07" w:rsidRDefault="00FC7511" w:rsidP="00FC7511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r w:rsidR="00C11530">
        <w:rPr>
          <w:rFonts w:ascii="Times New Roman" w:eastAsia="Times New Roman" w:hAnsi="Times New Roman" w:cs="Times New Roman"/>
          <w:sz w:val="24"/>
          <w:szCs w:val="24"/>
          <w:lang w:eastAsia="uk-U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02.2025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115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161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ознакомлены:</w:t>
      </w:r>
    </w:p>
    <w:p w:rsidR="00FC7511" w:rsidRPr="00432C07" w:rsidRDefault="00FC7511" w:rsidP="00FC751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2421"/>
      </w:tblGrid>
      <w:tr w:rsidR="00FC7511" w:rsidRPr="00432C07" w:rsidTr="00C11530">
        <w:trPr>
          <w:trHeight w:val="262"/>
        </w:trPr>
        <w:tc>
          <w:tcPr>
            <w:tcW w:w="534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C07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421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C7511" w:rsidRPr="00432C07" w:rsidTr="00C11530">
        <w:trPr>
          <w:trHeight w:val="262"/>
        </w:trPr>
        <w:tc>
          <w:tcPr>
            <w:tcW w:w="534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C07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432C0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111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C7511" w:rsidRPr="00432C07" w:rsidRDefault="001E6C08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</w:tr>
      <w:tr w:rsidR="00FC7511" w:rsidRPr="00432C07" w:rsidTr="00C11530">
        <w:trPr>
          <w:trHeight w:val="262"/>
        </w:trPr>
        <w:tc>
          <w:tcPr>
            <w:tcW w:w="534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4111" w:type="dxa"/>
          </w:tcPr>
          <w:p w:rsidR="00FC7511" w:rsidRPr="00432C07" w:rsidRDefault="00FC7511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C7511" w:rsidRPr="00432C07" w:rsidRDefault="001E6C08" w:rsidP="00C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</w:tr>
    </w:tbl>
    <w:p w:rsidR="00FC7511" w:rsidRDefault="00FC7511" w:rsidP="00FC7511"/>
    <w:p w:rsidR="00DA535F" w:rsidRDefault="00DA535F"/>
    <w:sectPr w:rsidR="00DA535F" w:rsidSect="00883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25" w:rsidRDefault="001C6025" w:rsidP="00FE5219">
      <w:pPr>
        <w:spacing w:after="0" w:line="240" w:lineRule="auto"/>
      </w:pPr>
      <w:r>
        <w:separator/>
      </w:r>
    </w:p>
  </w:endnote>
  <w:endnote w:type="continuationSeparator" w:id="0">
    <w:p w:rsidR="001C6025" w:rsidRDefault="001C6025" w:rsidP="00FE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19" w:rsidRDefault="00FE521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19" w:rsidRDefault="00FE521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19" w:rsidRDefault="00FE52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25" w:rsidRDefault="001C6025" w:rsidP="00FE5219">
      <w:pPr>
        <w:spacing w:after="0" w:line="240" w:lineRule="auto"/>
      </w:pPr>
      <w:r>
        <w:separator/>
      </w:r>
    </w:p>
  </w:footnote>
  <w:footnote w:type="continuationSeparator" w:id="0">
    <w:p w:rsidR="001C6025" w:rsidRDefault="001C6025" w:rsidP="00FE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19" w:rsidRDefault="00FE5219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19" w:rsidRDefault="00FE5219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19" w:rsidRDefault="00FE5219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B0FC6"/>
    <w:multiLevelType w:val="multilevel"/>
    <w:tmpl w:val="62D4D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11"/>
    <w:rsid w:val="000437BD"/>
    <w:rsid w:val="001410A7"/>
    <w:rsid w:val="001738A1"/>
    <w:rsid w:val="001C6025"/>
    <w:rsid w:val="001E6C08"/>
    <w:rsid w:val="00207680"/>
    <w:rsid w:val="002666A9"/>
    <w:rsid w:val="002725E0"/>
    <w:rsid w:val="00323284"/>
    <w:rsid w:val="003662B5"/>
    <w:rsid w:val="003A33FA"/>
    <w:rsid w:val="004239FF"/>
    <w:rsid w:val="004B4967"/>
    <w:rsid w:val="007A5A17"/>
    <w:rsid w:val="00802D4B"/>
    <w:rsid w:val="0088356E"/>
    <w:rsid w:val="00C11530"/>
    <w:rsid w:val="00C245DD"/>
    <w:rsid w:val="00DA535F"/>
    <w:rsid w:val="00E333E4"/>
    <w:rsid w:val="00FC7511"/>
    <w:rsid w:val="00FD4C9A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25D3FC8-6D0F-4991-A680-A721BA68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1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C751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75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C0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219"/>
  </w:style>
  <w:style w:type="paragraph" w:styleId="aa">
    <w:name w:val="footer"/>
    <w:basedOn w:val="a"/>
    <w:link w:val="ab"/>
    <w:uiPriority w:val="99"/>
    <w:unhideWhenUsed/>
    <w:rsid w:val="00FE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xy_the_littl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ilevichcdut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cp:lastPrinted>2025-02-12T06:48:00Z</cp:lastPrinted>
  <dcterms:created xsi:type="dcterms:W3CDTF">2025-02-12T05:57:00Z</dcterms:created>
  <dcterms:modified xsi:type="dcterms:W3CDTF">2025-02-12T06:52:00Z</dcterms:modified>
</cp:coreProperties>
</file>