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AF5810">
      <w:pPr>
        <w:pStyle w:val="6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 xml:space="preserve">Протокол </w:t>
      </w:r>
    </w:p>
    <w:p w14:paraId="0D338756">
      <w:pPr>
        <w:pStyle w:val="6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Fonts w:hint="default"/>
          <w:color w:val="000000"/>
          <w:lang w:val="ru-RU"/>
        </w:rPr>
      </w:pPr>
      <w:r>
        <w:rPr>
          <w:color w:val="000000"/>
        </w:rPr>
        <w:t>заседания   учителей- предметников</w:t>
      </w:r>
      <w:r>
        <w:rPr>
          <w:rFonts w:hint="default"/>
          <w:color w:val="000000"/>
          <w:lang w:val="ru-RU"/>
        </w:rPr>
        <w:t xml:space="preserve"> МО</w:t>
      </w:r>
    </w:p>
    <w:p w14:paraId="78E7DA0F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1CE03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Тема: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Формирование функциональной грамотности обучающихся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65D58AB0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color w:val="181818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181818"/>
          <w:sz w:val="24"/>
          <w:szCs w:val="24"/>
        </w:rPr>
        <w:t>Цель </w:t>
      </w:r>
      <w:r>
        <w:rPr>
          <w:rFonts w:ascii="Times New Roman" w:hAnsi="Times New Roman" w:eastAsia="Times New Roman" w:cs="Times New Roman"/>
          <w:color w:val="181818"/>
          <w:sz w:val="24"/>
          <w:szCs w:val="24"/>
        </w:rPr>
        <w:t>: совершенствовать профессиональное мастерство учителя в контексте развития функциональной грамотности обучающихся на всех уровнях обучения.</w:t>
      </w:r>
    </w:p>
    <w:p w14:paraId="08E294F6">
      <w:pPr>
        <w:shd w:val="clear" w:color="auto" w:fill="FFFFFF"/>
        <w:spacing w:after="0"/>
        <w:rPr>
          <w:rFonts w:ascii="Times New Roman" w:hAnsi="Times New Roman" w:eastAsia="Times New Roman" w:cs="Times New Roman"/>
          <w:color w:val="181818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181818"/>
          <w:sz w:val="24"/>
          <w:szCs w:val="24"/>
        </w:rPr>
        <w:t>Задачи:</w:t>
      </w:r>
    </w:p>
    <w:p w14:paraId="19F80AAC">
      <w:pPr>
        <w:shd w:val="clear" w:color="auto" w:fill="FFFFFF"/>
        <w:spacing w:after="0"/>
        <w:rPr>
          <w:rFonts w:ascii="Times New Roman" w:hAnsi="Times New Roman" w:eastAsia="Times New Roman" w:cs="Times New Roman"/>
          <w:color w:val="181818"/>
          <w:sz w:val="24"/>
          <w:szCs w:val="24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</w:rPr>
        <w:t>1.Раскрыть и закрепить понятие «функциональная грамотность».</w:t>
      </w:r>
    </w:p>
    <w:p w14:paraId="4F4E7127">
      <w:pPr>
        <w:shd w:val="clear" w:color="auto" w:fill="FFFFFF"/>
        <w:spacing w:after="0"/>
        <w:rPr>
          <w:rFonts w:ascii="Times New Roman" w:hAnsi="Times New Roman" w:eastAsia="Times New Roman" w:cs="Times New Roman"/>
          <w:color w:val="181818"/>
          <w:sz w:val="24"/>
          <w:szCs w:val="24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</w:rPr>
        <w:t>2. Рассмотреть пути формирования и развития функциональной грамотности обучающихся.</w:t>
      </w:r>
    </w:p>
    <w:p w14:paraId="6F786805">
      <w:pPr>
        <w:shd w:val="clear" w:color="auto" w:fill="FFFFFF"/>
        <w:spacing w:after="0"/>
        <w:rPr>
          <w:rFonts w:ascii="Times New Roman" w:hAnsi="Times New Roman" w:eastAsia="Times New Roman" w:cs="Times New Roman"/>
          <w:color w:val="181818"/>
          <w:sz w:val="24"/>
          <w:szCs w:val="24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</w:rPr>
        <w:t>3. Выявить опыт работы учителей по формированию функциональной грамотности школьников.</w:t>
      </w:r>
    </w:p>
    <w:p w14:paraId="30C6034E">
      <w:pPr>
        <w:pStyle w:val="6"/>
        <w:shd w:val="clear" w:color="auto" w:fill="FFFFFF"/>
        <w:spacing w:before="0" w:beforeAutospacing="0" w:after="0" w:afterAutospacing="0" w:line="276" w:lineRule="auto"/>
        <w:ind w:left="720"/>
        <w:jc w:val="center"/>
        <w:rPr>
          <w:b/>
          <w:color w:val="000000"/>
        </w:rPr>
      </w:pPr>
      <w:r>
        <w:rPr>
          <w:b/>
          <w:color w:val="000000"/>
        </w:rPr>
        <w:t>ПОВЕСТКА ДНЯ</w:t>
      </w:r>
    </w:p>
    <w:p w14:paraId="52ECB4BF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Формирование функциональной грамотности обучающихся, задачи и пути решения  </w:t>
      </w:r>
    </w:p>
    <w:p w14:paraId="22254F25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Формирование   читательской грамотности </w:t>
      </w:r>
    </w:p>
    <w:p w14:paraId="0C3E6B0B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Формирование естественно-научной грамотности </w:t>
      </w:r>
    </w:p>
    <w:p w14:paraId="36480D27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 Методические рекомендации по формированию функциональной грамотности обучающихся </w:t>
      </w:r>
    </w:p>
    <w:p w14:paraId="6019F3E2">
      <w:pPr>
        <w:pStyle w:val="6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Ход заседания:</w:t>
      </w:r>
    </w:p>
    <w:p w14:paraId="11145704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 первому вопросу: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Формирование функциональной грамотности обучающихся, задачи и пути решения» выступила зам.директора по УВР </w:t>
      </w:r>
      <w:r>
        <w:rPr>
          <w:rFonts w:hint="default"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актуальност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в наше время. Называется она «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Чайная церемония».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Эта притча о знаниях и применении их на деле, говоря современным языком «функциональная грамотность школьников».</w:t>
      </w:r>
    </w:p>
    <w:p w14:paraId="0B7DB69D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color w:val="181818"/>
          <w:sz w:val="24"/>
          <w:szCs w:val="24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4"/>
        </w:rPr>
        <w:t>Тема сегодняшнего заседания: </w:t>
      </w:r>
      <w:r>
        <w:rPr>
          <w:rFonts w:ascii="Times New Roman" w:hAnsi="Times New Roman" w:eastAsia="Times New Roman" w:cs="Times New Roman"/>
          <w:b/>
          <w:bCs/>
          <w:color w:val="181818"/>
          <w:sz w:val="24"/>
          <w:szCs w:val="24"/>
        </w:rPr>
        <w:t>«Технологические основы формирования функциональной грамотности обучающихся».</w:t>
      </w:r>
    </w:p>
    <w:p w14:paraId="204D96A3">
      <w:pPr>
        <w:shd w:val="clear" w:color="auto" w:fill="FFFFFF"/>
        <w:spacing w:after="0"/>
        <w:contextualSpacing/>
        <w:jc w:val="both"/>
        <w:rPr>
          <w:rFonts w:ascii="Times New Roman" w:hAnsi="Times New Roman" w:eastAsia="Times New Roman" w:cs="Times New Roman"/>
          <w:color w:val="181818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   Функциональная грамотность — это индикатор общественного благополучия. Поэтому для школы возникает очень важная цель: подготовить не отдельных элитных учащихся к жизни, а обучить мобильную личность, способной при необходимости быстро менять профессию, осваивать новые социальные роли и функции, быть конкурентоспособным.  И одной из основных задач школьного образования сегодня — подготовить учащегося к адаптации в современном мире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.</w:t>
      </w:r>
    </w:p>
    <w:p w14:paraId="7C9FBAEE">
      <w:pPr>
        <w:shd w:val="clear" w:color="auto" w:fill="FFFFFF"/>
        <w:spacing w:after="0"/>
        <w:contextualSpacing/>
        <w:jc w:val="both"/>
        <w:rPr>
          <w:rFonts w:ascii="Times New Roman" w:hAnsi="Times New Roman" w:eastAsia="Times New Roman" w:cs="Times New Roman"/>
          <w:color w:val="181818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  Основные направления формирования функциональной грамотности.</w:t>
      </w:r>
    </w:p>
    <w:p w14:paraId="33F1253A">
      <w:pPr>
        <w:shd w:val="clear" w:color="auto" w:fill="FFFFFF"/>
        <w:spacing w:after="0"/>
        <w:contextualSpacing/>
        <w:jc w:val="both"/>
        <w:rPr>
          <w:rFonts w:ascii="Times New Roman" w:hAnsi="Times New Roman" w:eastAsia="Times New Roman" w:cs="Times New Roman"/>
          <w:color w:val="181818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1.Математическая грамотность</w:t>
      </w:r>
    </w:p>
    <w:p w14:paraId="7E31E664">
      <w:pPr>
        <w:shd w:val="clear" w:color="auto" w:fill="FFFFFF"/>
        <w:spacing w:after="0"/>
        <w:contextualSpacing/>
        <w:jc w:val="both"/>
        <w:rPr>
          <w:rFonts w:ascii="Times New Roman" w:hAnsi="Times New Roman" w:eastAsia="Times New Roman" w:cs="Times New Roman"/>
          <w:color w:val="181818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2.Читательская грамотность</w:t>
      </w:r>
    </w:p>
    <w:p w14:paraId="62056A9D">
      <w:pPr>
        <w:shd w:val="clear" w:color="auto" w:fill="FFFFFF"/>
        <w:spacing w:after="0"/>
        <w:contextualSpacing/>
        <w:jc w:val="both"/>
        <w:rPr>
          <w:rFonts w:ascii="Times New Roman" w:hAnsi="Times New Roman" w:eastAsia="Times New Roman" w:cs="Times New Roman"/>
          <w:color w:val="181818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3.Естественнонаучная грамотность</w:t>
      </w:r>
    </w:p>
    <w:p w14:paraId="0C1D06CC">
      <w:pPr>
        <w:shd w:val="clear" w:color="auto" w:fill="FFFFFF"/>
        <w:spacing w:after="0"/>
        <w:contextualSpacing/>
        <w:jc w:val="both"/>
        <w:rPr>
          <w:rFonts w:ascii="Times New Roman" w:hAnsi="Times New Roman" w:eastAsia="Times New Roman" w:cs="Times New Roman"/>
          <w:color w:val="181818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4.Финансовая грамотность</w:t>
      </w:r>
    </w:p>
    <w:p w14:paraId="32E99861">
      <w:pPr>
        <w:shd w:val="clear" w:color="auto" w:fill="FFFFFF"/>
        <w:spacing w:after="0"/>
        <w:contextualSpacing/>
        <w:jc w:val="both"/>
        <w:rPr>
          <w:rFonts w:ascii="Times New Roman" w:hAnsi="Times New Roman" w:eastAsia="Times New Roman" w:cs="Times New Roman"/>
          <w:color w:val="181818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5.Глобальные компетенции</w:t>
      </w:r>
    </w:p>
    <w:p w14:paraId="1696F2E7">
      <w:pPr>
        <w:shd w:val="clear" w:color="auto" w:fill="FFFFFF"/>
        <w:spacing w:after="0"/>
        <w:contextualSpacing/>
        <w:jc w:val="both"/>
        <w:rPr>
          <w:rFonts w:ascii="Times New Roman" w:hAnsi="Times New Roman" w:eastAsia="Times New Roman" w:cs="Times New Roman"/>
          <w:color w:val="181818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6.Креативное мышление</w:t>
      </w:r>
    </w:p>
    <w:p w14:paraId="70A7ABD1">
      <w:pPr>
        <w:shd w:val="clear" w:color="auto" w:fill="FFFFFF"/>
        <w:spacing w:after="0"/>
        <w:contextualSpacing/>
        <w:jc w:val="both"/>
        <w:rPr>
          <w:rFonts w:ascii="Times New Roman" w:hAnsi="Times New Roman" w:eastAsia="Times New Roman" w:cs="Times New Roman"/>
          <w:color w:val="181818"/>
          <w:sz w:val="24"/>
          <w:szCs w:val="24"/>
        </w:rPr>
      </w:pPr>
      <w:r>
        <w:rPr>
          <w:rFonts w:ascii="Times New Roman" w:hAnsi="Times New Roman" w:eastAsia="Times New Roman" w:cs="Times New Roman"/>
          <w:iCs/>
          <w:color w:val="000000"/>
          <w:sz w:val="24"/>
          <w:szCs w:val="24"/>
        </w:rPr>
        <w:t>Математическая грамотность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 – это способность индивидуума формулировать, применять и интерпретировать математику в разнообразных контекстах.</w:t>
      </w:r>
    </w:p>
    <w:p w14:paraId="332989E3">
      <w:pPr>
        <w:shd w:val="clear" w:color="auto" w:fill="FFFFFF"/>
        <w:spacing w:after="0"/>
        <w:contextualSpacing/>
        <w:jc w:val="both"/>
        <w:rPr>
          <w:rFonts w:ascii="Times New Roman" w:hAnsi="Times New Roman" w:eastAsia="Times New Roman" w:cs="Times New Roman"/>
          <w:color w:val="181818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    Она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</w:t>
      </w:r>
    </w:p>
    <w:p w14:paraId="3598439B">
      <w:pPr>
        <w:shd w:val="clear" w:color="auto" w:fill="FFFFFF"/>
        <w:spacing w:after="0"/>
        <w:contextualSpacing/>
        <w:jc w:val="both"/>
        <w:rPr>
          <w:rFonts w:ascii="Times New Roman" w:hAnsi="Times New Roman" w:eastAsia="Times New Roman" w:cs="Times New Roman"/>
          <w:color w:val="181818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   Она помогает людям понять роль математики в мире, высказывать хорошо обоснованные суждения и принимать решения, которые должны принимать конструктивные, активные и размышляющие граждане. (Примеры из исследований PISA ).</w:t>
      </w:r>
    </w:p>
    <w:p w14:paraId="16A8E26D">
      <w:pPr>
        <w:shd w:val="clear" w:color="auto" w:fill="FFFFFF"/>
        <w:spacing w:after="0"/>
        <w:contextualSpacing/>
        <w:jc w:val="both"/>
        <w:rPr>
          <w:rFonts w:ascii="Times New Roman" w:hAnsi="Times New Roman" w:eastAsia="Times New Roman" w:cs="Times New Roman"/>
          <w:color w:val="181818"/>
          <w:sz w:val="24"/>
          <w:szCs w:val="24"/>
        </w:rPr>
      </w:pPr>
      <w:r>
        <w:rPr>
          <w:rFonts w:ascii="Times New Roman" w:hAnsi="Times New Roman" w:eastAsia="Times New Roman" w:cs="Times New Roman"/>
          <w:iCs/>
          <w:color w:val="000000"/>
          <w:sz w:val="24"/>
          <w:szCs w:val="24"/>
        </w:rPr>
        <w:t>Читательская грамотность -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 (Примеры из исследований PISA ).</w:t>
      </w:r>
    </w:p>
    <w:p w14:paraId="709EB4DE">
      <w:pPr>
        <w:shd w:val="clear" w:color="auto" w:fill="FFFFFF"/>
        <w:spacing w:after="0"/>
        <w:contextualSpacing/>
        <w:jc w:val="both"/>
        <w:rPr>
          <w:rFonts w:ascii="Times New Roman" w:hAnsi="Times New Roman" w:eastAsia="Times New Roman" w:cs="Times New Roman"/>
          <w:color w:val="181818"/>
          <w:sz w:val="24"/>
          <w:szCs w:val="24"/>
        </w:rPr>
      </w:pPr>
      <w:r>
        <w:rPr>
          <w:rFonts w:ascii="Times New Roman" w:hAnsi="Times New Roman" w:eastAsia="Times New Roman" w:cs="Times New Roman"/>
          <w:iCs/>
          <w:color w:val="000000"/>
          <w:sz w:val="24"/>
          <w:szCs w:val="24"/>
        </w:rPr>
        <w:t>Естественнонаучная грамотность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 – это способность человека занимать активную гражданскую позицию по вопросам, связанным с естественными науками, и его готовность   интересоваться естественнонаучными идеями.   Естественнонаучно грамотный человек стремится участвовать в   аргументированном обсуждении проблем, относящихся к естественным наукам и технологиям, что требует от него следующих компетентностей: научно объяснять явления; понимать основные особенности естественнонаучного  исследования; интерпретировать данные и использовать научные  доказательства для получения выводов</w:t>
      </w:r>
    </w:p>
    <w:p w14:paraId="2845314A">
      <w:pPr>
        <w:shd w:val="clear" w:color="auto" w:fill="FFFFFF"/>
        <w:spacing w:after="0"/>
        <w:contextualSpacing/>
        <w:jc w:val="both"/>
        <w:rPr>
          <w:rFonts w:ascii="Times New Roman" w:hAnsi="Times New Roman" w:eastAsia="Times New Roman" w:cs="Times New Roman"/>
          <w:color w:val="181818"/>
          <w:sz w:val="24"/>
          <w:szCs w:val="24"/>
        </w:rPr>
      </w:pPr>
      <w:r>
        <w:rPr>
          <w:rFonts w:ascii="Times New Roman" w:hAnsi="Times New Roman" w:eastAsia="Times New Roman" w:cs="Times New Roman"/>
          <w:iCs/>
          <w:color w:val="000000"/>
          <w:sz w:val="24"/>
          <w:szCs w:val="24"/>
        </w:rPr>
        <w:t>Финансовая грамотность -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включает знание и понимание финансовых терминов, понятий и финансовых рисков, а также навыки, мотивацию и уверенность, необходимые для  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принятии эффективных решений в разнообразных финансовых ситуациях, способствующих улучшению финансового благополучия личности и общества, а также возможности участия в экономической жизни</w:t>
      </w:r>
    </w:p>
    <w:p w14:paraId="4DC92A43">
      <w:pPr>
        <w:shd w:val="clear" w:color="auto" w:fill="FFFFFF"/>
        <w:spacing w:after="0"/>
        <w:contextualSpacing/>
        <w:jc w:val="both"/>
        <w:rPr>
          <w:rFonts w:ascii="Times New Roman" w:hAnsi="Times New Roman" w:eastAsia="Times New Roman" w:cs="Times New Roman"/>
          <w:color w:val="181818"/>
          <w:sz w:val="24"/>
          <w:szCs w:val="24"/>
        </w:rPr>
      </w:pPr>
      <w:r>
        <w:rPr>
          <w:rFonts w:ascii="Times New Roman" w:hAnsi="Times New Roman" w:eastAsia="Times New Roman" w:cs="Times New Roman"/>
          <w:iCs/>
          <w:color w:val="000000"/>
          <w:sz w:val="24"/>
          <w:szCs w:val="24"/>
        </w:rPr>
        <w:t>Креативное мышление: понятие</w:t>
      </w:r>
    </w:p>
    <w:p w14:paraId="70B27C7C">
      <w:pPr>
        <w:shd w:val="clear" w:color="auto" w:fill="FFFFFF"/>
        <w:spacing w:after="0"/>
        <w:contextualSpacing/>
        <w:jc w:val="both"/>
        <w:rPr>
          <w:rFonts w:ascii="Times New Roman" w:hAnsi="Times New Roman" w:eastAsia="Times New Roman" w:cs="Times New Roman"/>
          <w:color w:val="181818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  Способность продуктивно участвовать в процессе выработки, оценки и совершенствовании идей, направленных на получение инновационных (новых, новаторских, оригинальных,   нестандартных, непривычных) и эффективных</w:t>
      </w:r>
    </w:p>
    <w:p w14:paraId="45E65C67">
      <w:pPr>
        <w:shd w:val="clear" w:color="auto" w:fill="FFFFFF"/>
        <w:spacing w:after="0"/>
        <w:contextualSpacing/>
        <w:jc w:val="both"/>
        <w:rPr>
          <w:rFonts w:ascii="Times New Roman" w:hAnsi="Times New Roman" w:eastAsia="Times New Roman" w:cs="Times New Roman"/>
          <w:color w:val="181818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(действенных, результативных, экономичных, оптимальных) решений, и/или знаний,  нового эффектного (впечатляющего, вдохновляющего, необыкновенного, удивительного и т.п.) выражения  воображения.</w:t>
      </w:r>
    </w:p>
    <w:p w14:paraId="123A75F9">
      <w:pPr>
        <w:pStyle w:val="6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color w:val="000000"/>
        </w:rPr>
      </w:pPr>
      <w:r>
        <w:rPr>
          <w:b/>
          <w:color w:val="000000"/>
        </w:rPr>
        <w:t>Основные шаги по формированию функциональной грамотности</w:t>
      </w:r>
    </w:p>
    <w:p w14:paraId="24730818">
      <w:pPr>
        <w:pStyle w:val="6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</w:rPr>
      </w:pPr>
      <w:r>
        <w:rPr>
          <w:color w:val="000000"/>
        </w:rPr>
        <w:t xml:space="preserve">В рамках реализации указа Президента РФ от 7 мая 2018 года «О национальных целях и стратегических задачах развития Российской Федерации на период до 2024 года», где в качестве одной из приоритетных целей развития нашей страны на ближайшие годы названо вхождение России в число 10 ведущих стран мира по качеству общего образования, была разработана методология и критерии оценки качества общего образования на основе практики международных исследований. Методология предусматривает целый комплекс мероприятий, в том числе проведение ежегодной региональной оценки по модели PISA в 15 субъектах РФ. </w:t>
      </w:r>
    </w:p>
    <w:p w14:paraId="6CFC410D">
      <w:pPr>
        <w:pStyle w:val="6"/>
        <w:shd w:val="clear" w:color="auto" w:fill="FFFFFF"/>
        <w:spacing w:before="0" w:beforeAutospacing="0" w:after="0" w:afterAutospacing="0" w:line="276" w:lineRule="auto"/>
        <w:contextualSpacing/>
        <w:jc w:val="both"/>
      </w:pPr>
      <w:r>
        <w:t xml:space="preserve">Итак, перед нами стоит четкая задача. Разработан алгоритм действий по достижению данной цели. </w:t>
      </w:r>
    </w:p>
    <w:p w14:paraId="55130F06">
      <w:pPr>
        <w:pStyle w:val="6"/>
        <w:shd w:val="clear" w:color="auto" w:fill="FFFFFF"/>
        <w:spacing w:before="0" w:beforeAutospacing="0" w:after="0" w:afterAutospacing="0" w:line="276" w:lineRule="auto"/>
        <w:ind w:firstLine="450"/>
        <w:contextualSpacing/>
        <w:jc w:val="both"/>
      </w:pPr>
      <w:r>
        <w:t>В школе сделано:</w:t>
      </w:r>
    </w:p>
    <w:p w14:paraId="0ABF206A"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contextualSpacing/>
        <w:jc w:val="both"/>
      </w:pPr>
      <w:r>
        <w:t>Внесены изменения в ООП НОО, ООО, СОО в части планируемых личностных, метапредметных результатов освоения обучающимися программ, системе оценки достижений, планируемых личностных и метапредметных результатов освоения программ.</w:t>
      </w:r>
    </w:p>
    <w:p w14:paraId="5516EFC3"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contextualSpacing/>
        <w:jc w:val="both"/>
      </w:pPr>
      <w:r>
        <w:t xml:space="preserve">Внесены изменения в рабочие программы по всем предметам. По современным требованиям, </w:t>
      </w:r>
      <w:r>
        <w:rPr>
          <w:u w:val="single"/>
        </w:rPr>
        <w:t>все</w:t>
      </w:r>
      <w:r>
        <w:t xml:space="preserve"> рабочие программы должны предусматривать деятельность по формированию функциональной грамотности. В особенности это касается Русского языка, Литературного чтения, Иностранного языка, Математики, и Окружающего мира в начальной школе; Русского языка, Литературы, Иностранного языка, Математики, Географии, Биологии, Физики, Химии, Обществознания в основной школе.</w:t>
      </w:r>
    </w:p>
    <w:p w14:paraId="0C8FDD16"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contextualSpacing/>
        <w:jc w:val="both"/>
      </w:pPr>
      <w:r>
        <w:t>Разрабатываются рабочие программы «Математическая грамотность», «Естественнонаучная грамотность», «Финансовая грамотность», «Информационная грамотность» и «Читательская грамотность».</w:t>
      </w:r>
    </w:p>
    <w:p w14:paraId="588D4907"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contextualSpacing/>
        <w:jc w:val="both"/>
      </w:pPr>
      <w:r>
        <w:t>Внесены изменения в программу воспитания и социализации, обозначив формирование функциональной грамотности как приоритетную задачу.</w:t>
      </w:r>
    </w:p>
    <w:p w14:paraId="1DC25090"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contextualSpacing/>
        <w:jc w:val="both"/>
      </w:pPr>
      <w:r>
        <w:t>Внесены изменения в положение о внутришкольной системе оценки качества образования (ВСОКО)</w:t>
      </w:r>
    </w:p>
    <w:p w14:paraId="1938C493"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contextualSpacing/>
        <w:jc w:val="both"/>
      </w:pPr>
      <w:r>
        <w:t>Обучаются   педагоги.</w:t>
      </w:r>
    </w:p>
    <w:p w14:paraId="23E482E7"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lang w:val="ru-RU"/>
        </w:rPr>
        <w:t>П</w:t>
      </w:r>
      <w:r>
        <w:t>ривлечение родителей к совместной деятельности по формированию функциональной грамотности.</w:t>
      </w:r>
    </w:p>
    <w:p w14:paraId="1FEAC553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 второму вопросу: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«Формирование читательской грамотности» выступила учитель русского языка и литературы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Кривошей</w:t>
      </w:r>
      <w:r>
        <w:rPr>
          <w:rFonts w:hint="default"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И.С.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Она познакомила присутствующих с понятием </w:t>
      </w:r>
      <w:r>
        <w:rPr>
          <w:rFonts w:ascii="Times New Roman" w:hAnsi="Times New Roman" w:eastAsia="Times New Roman" w:cs="Times New Roman"/>
          <w:iCs/>
          <w:color w:val="000000"/>
          <w:sz w:val="24"/>
          <w:szCs w:val="24"/>
        </w:rPr>
        <w:t>читательская грамотность -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14:paraId="0E829262">
      <w:pPr>
        <w:shd w:val="clear" w:color="auto" w:fill="FFFFFF"/>
        <w:spacing w:after="0"/>
        <w:contextualSpacing/>
        <w:jc w:val="both"/>
        <w:rPr>
          <w:rFonts w:ascii="Times New Roman" w:hAnsi="Times New Roman" w:eastAsia="Times New Roman" w:cs="Times New Roman"/>
          <w:color w:val="181818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  <w:lang w:eastAsia="ru-RU"/>
        </w:rPr>
        <w:t>По третьему вопросу: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«Формирование естественно-научной грамотности» выступала учитель</w:t>
      </w:r>
      <w:r>
        <w:rPr>
          <w:rFonts w:hint="default"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математики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Орешкина</w:t>
      </w:r>
      <w:r>
        <w:rPr>
          <w:rFonts w:hint="default"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Е.А.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Она рассказала   что </w:t>
      </w:r>
      <w:r>
        <w:rPr>
          <w:rFonts w:ascii="Times New Roman" w:hAnsi="Times New Roman" w:eastAsia="Times New Roman" w:cs="Times New Roman"/>
          <w:iCs/>
          <w:color w:val="000000"/>
          <w:sz w:val="24"/>
          <w:szCs w:val="24"/>
        </w:rPr>
        <w:t>естественнонаучная грамотность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 – это способность человека занимать активную гражданскую позицию по вопросам, связанным с естественными науками, и его готовность   интересоваться естественнонаучными идеями.   Естественнонаучно грамотный человек стремится участвовать в аргументированном обсуждении проблем, относящихся к естественным наукам и технологиям, что требует от него следующих компетентностей: научно объяснять явления; понимать основные особенности естественнонаучного исследования; интерпретировать данные и использовать научные доказательства для получения выводов.</w:t>
      </w:r>
      <w:bookmarkStart w:id="0" w:name="_GoBack"/>
      <w:bookmarkEnd w:id="0"/>
    </w:p>
    <w:p w14:paraId="2BA102B2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 четвертому вопросу: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Методические рекомендации по формированию функциональной грамотности обучающихся </w:t>
      </w:r>
    </w:p>
    <w:p w14:paraId="1A6E014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Методика формирования функциональной грамотности учащихся в сфере коммуникации нацелена на формирование функциональной грамотности учащихся в сфере коммуникации в совместной деятельности учителя и учащихся. Предполагает последовательное включение учащихся в усложняющуюся учебную деятельность на основании диагностики коммуникативных трудностей учащихся. Определяя необходимость формирования функциональных знаний и умений, универсальных способов деятельности и создание ситуаций развития личностного опыта учащихся, используются в процессе преподавания предметов естественно-математического цикла, усложняющиеся упражнения и задания, направленные на преодоление коммуникативных трудностей учащихся. 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</w:rPr>
        <w:t>тметила, что можно выделить четыре уровня функциональной грамотности учащихся по предметам естественно-математического цикла: недопустимый, допустимый, достаточный и высокий</w:t>
      </w:r>
    </w:p>
    <w:p w14:paraId="6886B89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функциональной грамотности учащихся - это систематическое, непрерывное отслеживание качества функциональной грамотности учащихся на промежуточном этапе урока и образовательного процесса в целом. </w:t>
      </w:r>
    </w:p>
    <w:p w14:paraId="64387C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Оценивание функциональной грамотности учащихся – это процесс определения степени соответствия достигнутого учащимися уровня (качества) функциональной грамотности по предметам естественно-математического цикла на уровне основного среднего образования. Оценка качества функциональной грамотности учащихся – это результат выражения ценностного отношения субъектов образовательного процесса к качеству знаний, умений учащихся и характеру их ценностных отношений. </w:t>
      </w:r>
    </w:p>
    <w:p w14:paraId="5AD159D7">
      <w:pPr>
        <w:spacing w:after="0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функциональной грамотности учащихся в сфере коммуникации построена на принципах личностно-ориентированного подхода, позволяющих учитывать личный опыт общения и коммуникации учащихся и их успеваемости в процессе формирования функциональной грамотности:  </w:t>
      </w:r>
    </w:p>
    <w:p w14:paraId="40235304">
      <w:pPr>
        <w:pStyle w:val="12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предполагает двустороннюю оценку функциональной грамотности учащихся в сфере коммуникации:</w:t>
      </w:r>
    </w:p>
    <w:p w14:paraId="48633801">
      <w:pPr>
        <w:pStyle w:val="12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во-первых, со стороны учащихся самоанализ и самооценку опыта общения и коммуникации, а во-вторых со стороны учителя оценку знаний и умений учащихся, составляющих когнитивную и деятельностную основу функциональной грамотности, методами тестирования, решения стандартных и нестандартных задач работы с текстами, формирования речевого поведения на уроках в групповой и индивидуальной работе; </w:t>
      </w:r>
    </w:p>
    <w:p w14:paraId="5FAC1A94">
      <w:pPr>
        <w:pStyle w:val="12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определяет постоянное использование рефлексивных методов для выявления и оценки успешности преодоления коммуникативных трудностей учащимися.</w:t>
      </w:r>
    </w:p>
    <w:p w14:paraId="005B6B0F">
      <w:pPr>
        <w:spacing w:after="0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качестве ведущего метода оценки коммуникативной сферы функциональной грамотности предложена самооценка учащимися успешности личностного опыта общения и работы с информацией, а также оценка учителем знаний и умений, составляющих когнитивную основу функциональной грамотности. </w:t>
      </w:r>
    </w:p>
    <w:p w14:paraId="4820BC4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компетентностном подходе к оценке результатов обучения в понятие «функциональная грамотность» вкладывается следующий смысл:  </w:t>
      </w:r>
    </w:p>
    <w:p w14:paraId="208FD527">
      <w:pPr>
        <w:pStyle w:val="12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читательская грамотность — способность к пониманию и осмыслению письменных текстов, к использованию их содержания для достижения собственных целей, развития знаний и возможностей, для активного участия в жизни общества; </w:t>
      </w:r>
    </w:p>
    <w:p w14:paraId="5BCB87EC">
      <w:pPr>
        <w:pStyle w:val="12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математическая грамотность — способность человека определять и понимать роль математики в мире, в котором он живет,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гражданину; </w:t>
      </w:r>
    </w:p>
    <w:p w14:paraId="516B8B8B">
      <w:pPr>
        <w:pStyle w:val="12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естественнонаучная грамотность — способность использовать естественнонаучные знания для отбора в реальных жизненных ситуациях тех проблем, которые могут быть исследованы и решены с помощью научных методов, для получения выводов, основанных на наблюдениях и экспериментах, необходимых для понимания окружающего мира и тех изменений, которые вносит в него деятельность человека, а также для принятия соответствующих решений. </w:t>
      </w:r>
    </w:p>
    <w:p w14:paraId="0770B3C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Функциональная грамотность - явление метапредметное, и поэтому она формируется при изучении всех школьных дисциплин и поэтому имеет разнообразные формы проявления. </w:t>
      </w:r>
    </w:p>
    <w:p w14:paraId="07C27FD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Основное среднее образование обеспечивает освоение обучающимися базисных основ системы наук; </w:t>
      </w:r>
    </w:p>
    <w:p w14:paraId="00581405">
      <w:pPr>
        <w:pStyle w:val="12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их интеллектуального потенциала; </w:t>
      </w:r>
    </w:p>
    <w:p w14:paraId="4ED8D753">
      <w:pPr>
        <w:pStyle w:val="12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привитие им духовно-нравственных качеств и гражданской ответственности, экологической культуры и этических норм межличностного и межэтнического общения; самоопределение и самореализацию личности; </w:t>
      </w:r>
    </w:p>
    <w:p w14:paraId="44D0FE67">
      <w:pPr>
        <w:pStyle w:val="12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функциональной грамотности; реализацию предпрофильной подготовки с учетом возрастных особенностей развития и сохранения здоровья </w:t>
      </w:r>
    </w:p>
    <w:p w14:paraId="12FFC2B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уровне основного среднего образования создается основа предпрофильной подготовки обучающихся, формируется естественнонаучное и гуманитарное мировоззрение, личностные качества, обеспечивающие их успешную социально-психологическую адаптацию в обществе, самоопределение в выборе направления профильного обучения. Содержание образования на уровне основного образования является относительно завершенным и базовым для продолжения обучения на уровне общего среднего образования. </w:t>
      </w:r>
    </w:p>
    <w:p w14:paraId="2985518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Естественнонаучная грамотность включает следующие компоненты: «общепредметные» (общеучебные) умения, формируемые в рамках естественнонаучных предметов, естественнонаучные понятия и ситуации, в которых используются естественнонаучные знания. Естественнонаучная грамотность — это не только образовательная, но и гражданская характеристика, которая в большой мере отражает уровень культуры общества, включая его способность к поддержке научной и инновационной деятельности. Можно утверждать, что для осуществления технологической модернизации естественнонаучная грамотность населения необходима в той же мере, в какой нужны и сами профессионалы — учёные, конструкторы, инженеры. Следовательно, под жизненно важными задачами и проблемами можно понимать задачи межпредметного содержания. </w:t>
      </w:r>
    </w:p>
    <w:p w14:paraId="029B6CA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именно, следующих основных компетенций: </w:t>
      </w:r>
    </w:p>
    <w:p w14:paraId="7B072644">
      <w:pPr>
        <w:pStyle w:val="12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понимание основных особенностей естественнонаучного исследования (илиестественнонаучного метода познания);  </w:t>
      </w:r>
    </w:p>
    <w:p w14:paraId="78970ADB">
      <w:pPr>
        <w:pStyle w:val="12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объяснять или описывать естественнонаучные явления на основе имеющихся научных знаний, а также умение прогнозировать изменения;   умение использовать научные доказательства и имеющиеся данные для получения выводов, анализа и оценки достоверности этих выводов. </w:t>
      </w:r>
    </w:p>
    <w:p w14:paraId="714EA22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этими тремя основными компетенциям можно выделить три группы заданий. </w:t>
      </w:r>
    </w:p>
    <w:p w14:paraId="710F271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Эти группы можно подвести под условные рубрики, названия которых, если их формулировать на доступном школьникам языке, содержат побудительный и мотивирующий смысл для ученика. </w:t>
      </w:r>
    </w:p>
    <w:p w14:paraId="25B3EC0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 формирования естественнонаучной грамотности и достижения образовательных результатов ФГОС предъявляет определённые требования к содержанию учебной деятельности на уроке и необходимым компетенциям учителя. Учебная деятельность по преимуществу должна иметь продуктивный (в отличие от репродуктивного) характер и включать в себя следующие виды деятельности:  </w:t>
      </w:r>
    </w:p>
    <w:p w14:paraId="78905C99">
      <w:pPr>
        <w:pStyle w:val="12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объяснение и описание явлений;</w:t>
      </w:r>
    </w:p>
    <w:p w14:paraId="33587A48">
      <w:pPr>
        <w:pStyle w:val="12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и построение моделей явлений и процессов;</w:t>
      </w:r>
    </w:p>
    <w:p w14:paraId="3CF62A7E">
      <w:pPr>
        <w:pStyle w:val="12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прогнозирование изменений;</w:t>
      </w:r>
    </w:p>
    <w:p w14:paraId="6E4C485C">
      <w:pPr>
        <w:pStyle w:val="12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формулирование выводов на основе имеющихся данных;</w:t>
      </w:r>
    </w:p>
    <w:p w14:paraId="57DB9F17">
      <w:pPr>
        <w:pStyle w:val="12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этих выводов и оценка их достоверности;</w:t>
      </w:r>
    </w:p>
    <w:p w14:paraId="2B89F4D9">
      <w:pPr>
        <w:pStyle w:val="12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выдвижение гипотез и определение способов их проверки;</w:t>
      </w:r>
    </w:p>
    <w:p w14:paraId="7E674E42">
      <w:pPr>
        <w:pStyle w:val="12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формулирование цели исследования;</w:t>
      </w:r>
    </w:p>
    <w:p w14:paraId="014E72D9">
      <w:pPr>
        <w:pStyle w:val="12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построение плана исследования;</w:t>
      </w:r>
    </w:p>
    <w:p w14:paraId="40BF7A77">
      <w:pPr>
        <w:pStyle w:val="12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дискуссия по естественнонаучным вопросам.</w:t>
      </w:r>
    </w:p>
    <w:p w14:paraId="778B8F2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Соответственно и материал урока должен быть основой для организации такой деятельности и постановки учебных заданий, формирующих компетентности естественнонаучной грамотности. Следовательно, условно содержание урока можно подвергнуть своеобразному тесту. Такой тест должен содержать не один урок, а система уроков, соответствующих, например, разделу курса, но содержание почти каждого урока должно утвердительно отвечать хотя бы на один из вопросов этого условного теста. </w:t>
      </w:r>
    </w:p>
    <w:p w14:paraId="6B52289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Отсюда вытекают требования и к компетентностям учителя, если он ставит задачу формирования естественнонаучной грамотности учащихся: </w:t>
      </w:r>
    </w:p>
    <w:p w14:paraId="067C7ED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учитель сам должен обладать компетентностями, которые составляют естественнонаучную грамотность. Только тогда учитель сможет целенаправленно использовать задания по естественнонаучной грамотности в учебном процессе и тем более самостоятельно разрабатывать такие задания; </w:t>
      </w:r>
    </w:p>
    <w:p w14:paraId="6E3B9C8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учитель должен выступать в качестве организатора (или координатора) продуктивной деятельности учащихся.</w:t>
      </w:r>
    </w:p>
    <w:p w14:paraId="4E03B6C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это требует педагогической компетентностей. Эти же требования определяют и содержание подготовки учителя, в том числе повышение квалификации учителей предметов естественнонаучного цикла. </w:t>
      </w:r>
    </w:p>
    <w:p w14:paraId="532791A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профессиональной компетентности учителя, обеспечивающей реализацию педагогического процесса, инициирующего и формирующего функциональную грамотность учащегося, является на современном этапе развития образования одной из главных задач. </w:t>
      </w:r>
    </w:p>
    <w:p w14:paraId="329BA878">
      <w:pPr>
        <w:pStyle w:val="1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Трудности, связанные с организацией и содержанием процесса формирования функциональной грамотности учащихся, связаны с тем, что:  </w:t>
      </w:r>
    </w:p>
    <w:p w14:paraId="6FE44D8F">
      <w:pPr>
        <w:pStyle w:val="1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недостаточно полно определено само понятие функциональной грамотности, не учитываются изменения в понимании и содержании понятия на современном этапе развития образования;  </w:t>
      </w:r>
    </w:p>
    <w:p w14:paraId="5E6E10FE">
      <w:pPr>
        <w:pStyle w:val="1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вследствие этого функциональная грамотность не формируется в школьной практике как целостная система, как правило, общеобразовательные учреждения работают над формированием общеучебных умений и навыков (технологический компонент), но без опоры на субъектный опыт учащихся, что не способствует развитию качеств личности, необходимых современному школьнику для успешного функционирования и адаптации в обществе (личностный компонент);  </w:t>
      </w:r>
    </w:p>
    <w:p w14:paraId="60BE7F8C">
      <w:pPr>
        <w:pStyle w:val="1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уделяется должного внимания формированию новых составляющих функциональной грамотности учащихся: коммуникативной, компьютерной, экологической, экономической, правовой и др.;  </w:t>
      </w:r>
    </w:p>
    <w:p w14:paraId="05F64DFF">
      <w:pPr>
        <w:pStyle w:val="1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выявляется недостаточный уровень профессиональной компетентности многих учителей, которые остаются приверженцами традиционного подхода к обучению и, в силу этого, не могут эффективно решать проблему формирования функциональной грамотности на современном этапе</w:t>
      </w:r>
    </w:p>
    <w:p w14:paraId="390251D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исследование обусловлено необходимостью разрешения следующих противоречий: </w:t>
      </w:r>
    </w:p>
    <w:p w14:paraId="5390DEDA">
      <w:pPr>
        <w:pStyle w:val="12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между потребностью развития функциональной грамотности учащихся как условия их успешной социализации и адаптации в обществе и отсутствием у учителей готовности для решения этой проблемы;  </w:t>
      </w:r>
    </w:p>
    <w:p w14:paraId="544EFA7F">
      <w:pPr>
        <w:pStyle w:val="12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между назревшей необходимостью повышения профессиональной компетентности учителя в развитии функциональной грамотности учащихся и недостаточной разработанностью этой проблемы в педагогической теории и практике. </w:t>
      </w:r>
    </w:p>
    <w:p w14:paraId="3C35D5E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Формирования функциональной грамотности учащихся основной школы обеспечивается и достигается, если: </w:t>
      </w:r>
    </w:p>
    <w:p w14:paraId="3B2EF98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рассматривать функциональную грамотность учащихся как базовый уровень образованности учащихся, характеризующий степень овладения способами работы с информацией и позволяющий решать реальные жизненные проблемы, адаптироваться к внешнему миру;</w:t>
      </w:r>
    </w:p>
    <w:p w14:paraId="00E621F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включить в состав профессиональной компетентности учителя по формированию функциональной грамотности учащихся три составляющих: когнитивный, операциональнотехнологический и личностный компоненты, опирающиеся на функциональную грамотность ученика; </w:t>
      </w:r>
    </w:p>
    <w:p w14:paraId="4CAA9B7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реализовать содержание профессиональной компетентности учителя по формированию функциональной грамотности учащихся в процессе повышения квалификации в условиях внутришкольной методической работы;</w:t>
      </w:r>
    </w:p>
    <w:p w14:paraId="11263E3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разработать, обосновать и апробировать интерактивную технологию развития профессиональной компетентности учителя по формированию функциональной грамотности учащихся; </w:t>
      </w:r>
    </w:p>
    <w:p w14:paraId="354230E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выявить совокупность организационно-педагогических условий, обеспечивающих развитие профессиональной компетентности учителя по формированию функциональной грамотности учащихся. </w:t>
      </w:r>
    </w:p>
    <w:p w14:paraId="3A142A91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Методические рекомендации по формированию функциональной грамотности школьников</w:t>
      </w:r>
    </w:p>
    <w:p w14:paraId="740E785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Реализация основ формирования функциональной грамотности учащихся на уровне основного среднего образования по предметам естественнонаучного цикла сводится решению следующих задач:  </w:t>
      </w:r>
    </w:p>
    <w:p w14:paraId="5F4E434B">
      <w:pPr>
        <w:pStyle w:val="12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изучить состояния проблемы формирования и оценивания функциональной грамотности учащихся по предметам естественнонаучного цикла в теории и практике обучения на данном уровне;  </w:t>
      </w:r>
    </w:p>
    <w:p w14:paraId="1B7639E7">
      <w:pPr>
        <w:pStyle w:val="12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методолого-теоретические основы формирования и оценивания функциональной грамотности учащихся;  определить методы и принципы преемственности развития функциональной грамотности учащихся; </w:t>
      </w:r>
    </w:p>
    <w:p w14:paraId="1F17A175">
      <w:pPr>
        <w:pStyle w:val="12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проектировать содержания предметов естественнонаучного цикла;</w:t>
      </w:r>
    </w:p>
    <w:p w14:paraId="3E056328">
      <w:pPr>
        <w:pStyle w:val="12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разработать методические рекомендации по формированию функциональной грамотности учащихся на уровне основного среднего образования.  </w:t>
      </w:r>
    </w:p>
    <w:p w14:paraId="72552DD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Формирования функциональной грамотности, в первую очередь требует формирование таких аспектов, как естественнонаучная грамотность и грамотность чтения. Необходимо обеспечить целенаправленного формирования этих аспектов в условиях преподавания предметов естественнонаучного цикла. </w:t>
      </w:r>
    </w:p>
    <w:p w14:paraId="7C28E60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уровне основного среднего образования закладываются основы для последующего изучения предметов естественнонаучного цикла на уровне общего среднего образования, формируется эмпирический базис для знакомства теориями и закономерностями предметов предметов естественно-научного цикла. </w:t>
      </w:r>
    </w:p>
    <w:p w14:paraId="38823CD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Характеристиками уровневых показателей функциональной грамотности учащихся являются: </w:t>
      </w:r>
    </w:p>
    <w:p w14:paraId="1B9EDCD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целепологание:  </w:t>
      </w:r>
    </w:p>
    <w:p w14:paraId="75E61FD9">
      <w:pPr>
        <w:pStyle w:val="12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осознание учеником потребности и способности к самореализации;</w:t>
      </w:r>
    </w:p>
    <w:p w14:paraId="53E1509E">
      <w:pPr>
        <w:pStyle w:val="12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возникновение учебно-познавательного интереса;</w:t>
      </w:r>
    </w:p>
    <w:p w14:paraId="6CE4C68F">
      <w:pPr>
        <w:pStyle w:val="12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владение приемами самостоятельной работы;</w:t>
      </w:r>
    </w:p>
    <w:p w14:paraId="06DE4349">
      <w:pPr>
        <w:pStyle w:val="12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осмысление терминов, понятий, общеучебных умений и навыков;</w:t>
      </w:r>
    </w:p>
    <w:p w14:paraId="5679027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2) планирование:  </w:t>
      </w:r>
    </w:p>
    <w:p w14:paraId="60EC5E6B">
      <w:pPr>
        <w:pStyle w:val="12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способность ориентироваться в условиях задачи;</w:t>
      </w:r>
    </w:p>
    <w:p w14:paraId="59B6678E">
      <w:pPr>
        <w:pStyle w:val="12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выделение алгоритма поиска необходимой информации;</w:t>
      </w:r>
    </w:p>
    <w:p w14:paraId="1544D3C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принятие решения: </w:t>
      </w:r>
    </w:p>
    <w:p w14:paraId="14E3D8E1">
      <w:pPr>
        <w:pStyle w:val="12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 оптимального варианта для решения поставленной задачи;</w:t>
      </w:r>
    </w:p>
    <w:p w14:paraId="55169E7D">
      <w:pPr>
        <w:pStyle w:val="12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планов деятельности;</w:t>
      </w:r>
    </w:p>
    <w:p w14:paraId="3128F28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4) выполнение:  </w:t>
      </w:r>
    </w:p>
    <w:p w14:paraId="544C20B2">
      <w:pPr>
        <w:pStyle w:val="12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работать с текстом, рисунком, схемой и графиком. </w:t>
      </w:r>
    </w:p>
    <w:p w14:paraId="00C4581A">
      <w:pPr>
        <w:spacing w:after="0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оценка результатов:  самооценка достигнутых общеучебных умений и навыков;   самоанализ.</w:t>
      </w:r>
    </w:p>
    <w:p w14:paraId="60D274E3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результате определения уровневых показателей выявляются недостаточно сформированные учебные навыки и умения учащихся на каждом этапе формирования функциональной грамотности. </w:t>
      </w:r>
    </w:p>
    <w:p w14:paraId="2F68E6E7">
      <w:pPr>
        <w:tabs>
          <w:tab w:val="left" w:pos="1329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A81FA5">
      <w:pPr>
        <w:pStyle w:val="6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b/>
          <w:u w:val="single"/>
        </w:rPr>
      </w:pPr>
      <w:r>
        <w:rPr>
          <w:rFonts w:eastAsia="+mn-ea"/>
          <w:b/>
          <w:kern w:val="24"/>
        </w:rPr>
        <w:t>Утвердить план мероприятий план мероприятий по формированию функциональной грамотности школьников.</w:t>
      </w:r>
    </w:p>
    <w:p w14:paraId="37C8A06F">
      <w:pPr>
        <w:pStyle w:val="12"/>
        <w:numPr>
          <w:ilvl w:val="0"/>
          <w:numId w:val="14"/>
        </w:num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+mn-ea" w:cs="Times New Roman"/>
          <w:kern w:val="24"/>
          <w:sz w:val="24"/>
          <w:szCs w:val="24"/>
        </w:rPr>
        <w:t>На заседаниях ШМО изучить опыт педагогов по формированию функциональной грамотности обучающихся в рамках предметных областей (ответственные руководители ШМО)</w:t>
      </w:r>
    </w:p>
    <w:p w14:paraId="53345AC7">
      <w:pPr>
        <w:pStyle w:val="12"/>
        <w:numPr>
          <w:ilvl w:val="0"/>
          <w:numId w:val="14"/>
        </w:num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+mn-ea" w:cs="Times New Roman"/>
          <w:kern w:val="24"/>
          <w:sz w:val="24"/>
          <w:szCs w:val="24"/>
        </w:rPr>
        <w:t>Всем педагогам внедрять технологии, обеспечивающие формирование функциональной грамотности</w:t>
      </w:r>
      <w:r>
        <w:rPr>
          <w:rFonts w:ascii="Times New Roman" w:hAnsi="Times New Roman" w:eastAsia="+mn-ea" w:cs="Times New Roman"/>
          <w:iCs/>
          <w:kern w:val="24"/>
          <w:sz w:val="24"/>
          <w:szCs w:val="24"/>
        </w:rPr>
        <w:t xml:space="preserve"> (</w:t>
      </w:r>
      <w:r>
        <w:rPr>
          <w:rFonts w:ascii="Times New Roman" w:hAnsi="Times New Roman" w:eastAsia="+mn-ea" w:cs="Times New Roman"/>
          <w:kern w:val="24"/>
          <w:sz w:val="24"/>
          <w:szCs w:val="24"/>
        </w:rPr>
        <w:t>ответственные</w:t>
      </w:r>
      <w:r>
        <w:rPr>
          <w:rFonts w:ascii="Times New Roman" w:hAnsi="Times New Roman" w:eastAsia="+mn-ea" w:cs="Times New Roman"/>
          <w:iCs/>
          <w:kern w:val="24"/>
          <w:sz w:val="24"/>
          <w:szCs w:val="24"/>
        </w:rPr>
        <w:t xml:space="preserve">: все педагоги, постоянно) </w:t>
      </w:r>
    </w:p>
    <w:p w14:paraId="6FD40D96">
      <w:pPr>
        <w:pStyle w:val="12"/>
        <w:numPr>
          <w:ilvl w:val="0"/>
          <w:numId w:val="14"/>
        </w:num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+mn-ea" w:cs="Times New Roman"/>
          <w:iCs/>
          <w:kern w:val="24"/>
          <w:sz w:val="24"/>
          <w:szCs w:val="24"/>
        </w:rPr>
        <w:t>В рамках предметных недель провести открытые уроки, демонстрирующие разнообразные формы, методы, формирующие функциональную грамотность (</w:t>
      </w:r>
      <w:r>
        <w:rPr>
          <w:rFonts w:ascii="Times New Roman" w:hAnsi="Times New Roman" w:eastAsia="+mn-ea" w:cs="Times New Roman"/>
          <w:kern w:val="24"/>
          <w:sz w:val="24"/>
          <w:szCs w:val="24"/>
        </w:rPr>
        <w:t>ответственные</w:t>
      </w:r>
      <w:r>
        <w:rPr>
          <w:rFonts w:ascii="Times New Roman" w:hAnsi="Times New Roman" w:eastAsia="+mn-ea" w:cs="Times New Roman"/>
          <w:iCs/>
          <w:kern w:val="24"/>
          <w:sz w:val="24"/>
          <w:szCs w:val="24"/>
        </w:rPr>
        <w:t>: руководители МО, в течение года)</w:t>
      </w:r>
    </w:p>
    <w:p w14:paraId="56B49585">
      <w:pPr>
        <w:pStyle w:val="12"/>
        <w:numPr>
          <w:ilvl w:val="0"/>
          <w:numId w:val="14"/>
        </w:num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+mn-ea" w:cs="Times New Roman"/>
          <w:iCs/>
          <w:kern w:val="24"/>
          <w:sz w:val="24"/>
          <w:szCs w:val="24"/>
        </w:rPr>
        <w:t>Создать банк заданий, отвечающих формированию функциональной грамотности обучающихся (</w:t>
      </w:r>
      <w:r>
        <w:rPr>
          <w:rFonts w:ascii="Times New Roman" w:hAnsi="Times New Roman" w:eastAsia="+mn-ea" w:cs="Times New Roman"/>
          <w:kern w:val="24"/>
          <w:sz w:val="24"/>
          <w:szCs w:val="24"/>
        </w:rPr>
        <w:t>ответственные</w:t>
      </w:r>
      <w:r>
        <w:rPr>
          <w:rFonts w:ascii="Times New Roman" w:hAnsi="Times New Roman" w:eastAsia="+mn-ea" w:cs="Times New Roman"/>
          <w:iCs/>
          <w:kern w:val="24"/>
          <w:sz w:val="24"/>
          <w:szCs w:val="24"/>
        </w:rPr>
        <w:t>: педагоги, в течение уч.года)</w:t>
      </w:r>
    </w:p>
    <w:p w14:paraId="0DCCED1F">
      <w:pPr>
        <w:pStyle w:val="12"/>
        <w:numPr>
          <w:ilvl w:val="0"/>
          <w:numId w:val="14"/>
        </w:num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+mn-ea" w:cs="Times New Roman"/>
          <w:kern w:val="24"/>
          <w:sz w:val="24"/>
          <w:szCs w:val="24"/>
        </w:rPr>
        <w:t xml:space="preserve">На родительском собрании провести информирование родителей о формировании функциональной грамотности обучающихся </w:t>
      </w:r>
      <w:r>
        <w:rPr>
          <w:rFonts w:ascii="Times New Roman" w:hAnsi="Times New Roman" w:eastAsia="+mn-ea" w:cs="Times New Roman"/>
          <w:iCs/>
          <w:kern w:val="24"/>
          <w:sz w:val="24"/>
          <w:szCs w:val="24"/>
        </w:rPr>
        <w:t>(</w:t>
      </w:r>
      <w:r>
        <w:rPr>
          <w:rFonts w:ascii="Times New Roman" w:hAnsi="Times New Roman" w:eastAsia="+mn-ea" w:cs="Times New Roman"/>
          <w:kern w:val="24"/>
          <w:sz w:val="24"/>
          <w:szCs w:val="24"/>
        </w:rPr>
        <w:t>ответственные</w:t>
      </w:r>
      <w:r>
        <w:rPr>
          <w:rFonts w:ascii="Times New Roman" w:hAnsi="Times New Roman" w:eastAsia="+mn-ea" w:cs="Times New Roman"/>
          <w:iCs/>
          <w:kern w:val="24"/>
          <w:sz w:val="24"/>
          <w:szCs w:val="24"/>
        </w:rPr>
        <w:t>: кл. руководители)</w:t>
      </w:r>
    </w:p>
    <w:p w14:paraId="62975124">
      <w:pPr>
        <w:spacing w:after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+mn-ea" w:cs="Times New Roman"/>
          <w:iCs/>
          <w:kern w:val="24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Предсе</w:t>
      </w:r>
      <w:r>
        <w:rPr>
          <w:rFonts w:ascii="Times New Roman" w:hAnsi="Times New Roman" w:cs="Times New Roman"/>
          <w:sz w:val="24"/>
          <w:szCs w:val="24"/>
          <w:lang w:val="ru-RU"/>
        </w:rPr>
        <w:t>датель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:</w:t>
      </w:r>
    </w:p>
    <w:p w14:paraId="3D13D0B7">
      <w:p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Секретарь: </w:t>
      </w:r>
    </w:p>
    <w:p w14:paraId="0DAA8B15">
      <w:pPr>
        <w:tabs>
          <w:tab w:val="left" w:pos="1329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568" w:right="1080" w:bottom="709" w:left="99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+mn-ea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CF35CD"/>
    <w:multiLevelType w:val="multilevel"/>
    <w:tmpl w:val="12CF35C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98419F5"/>
    <w:multiLevelType w:val="multilevel"/>
    <w:tmpl w:val="198419F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CD14727"/>
    <w:multiLevelType w:val="multilevel"/>
    <w:tmpl w:val="1CD1472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294E4C43"/>
    <w:multiLevelType w:val="multilevel"/>
    <w:tmpl w:val="294E4C43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2BEC3C66"/>
    <w:multiLevelType w:val="multilevel"/>
    <w:tmpl w:val="2BEC3C66"/>
    <w:lvl w:ilvl="0" w:tentative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530" w:hanging="360"/>
      </w:pPr>
    </w:lvl>
    <w:lvl w:ilvl="2" w:tentative="0">
      <w:start w:val="1"/>
      <w:numFmt w:val="lowerRoman"/>
      <w:lvlText w:val="%3."/>
      <w:lvlJc w:val="right"/>
      <w:pPr>
        <w:ind w:left="2250" w:hanging="180"/>
      </w:pPr>
    </w:lvl>
    <w:lvl w:ilvl="3" w:tentative="0">
      <w:start w:val="1"/>
      <w:numFmt w:val="decimal"/>
      <w:lvlText w:val="%4."/>
      <w:lvlJc w:val="left"/>
      <w:pPr>
        <w:ind w:left="2970" w:hanging="360"/>
      </w:pPr>
    </w:lvl>
    <w:lvl w:ilvl="4" w:tentative="0">
      <w:start w:val="1"/>
      <w:numFmt w:val="lowerLetter"/>
      <w:lvlText w:val="%5."/>
      <w:lvlJc w:val="left"/>
      <w:pPr>
        <w:ind w:left="3690" w:hanging="360"/>
      </w:pPr>
    </w:lvl>
    <w:lvl w:ilvl="5" w:tentative="0">
      <w:start w:val="1"/>
      <w:numFmt w:val="lowerRoman"/>
      <w:lvlText w:val="%6."/>
      <w:lvlJc w:val="right"/>
      <w:pPr>
        <w:ind w:left="4410" w:hanging="180"/>
      </w:pPr>
    </w:lvl>
    <w:lvl w:ilvl="6" w:tentative="0">
      <w:start w:val="1"/>
      <w:numFmt w:val="decimal"/>
      <w:lvlText w:val="%7."/>
      <w:lvlJc w:val="left"/>
      <w:pPr>
        <w:ind w:left="5130" w:hanging="360"/>
      </w:pPr>
    </w:lvl>
    <w:lvl w:ilvl="7" w:tentative="0">
      <w:start w:val="1"/>
      <w:numFmt w:val="lowerLetter"/>
      <w:lvlText w:val="%8."/>
      <w:lvlJc w:val="left"/>
      <w:pPr>
        <w:ind w:left="5850" w:hanging="360"/>
      </w:pPr>
    </w:lvl>
    <w:lvl w:ilvl="8" w:tentative="0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3ABF6C6D"/>
    <w:multiLevelType w:val="multilevel"/>
    <w:tmpl w:val="3ABF6C6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41E95AD7"/>
    <w:multiLevelType w:val="multilevel"/>
    <w:tmpl w:val="41E95AD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4C03417E"/>
    <w:multiLevelType w:val="multilevel"/>
    <w:tmpl w:val="4C03417E"/>
    <w:lvl w:ilvl="0" w:tentative="0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4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6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8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70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42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4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6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87" w:hanging="360"/>
      </w:pPr>
      <w:rPr>
        <w:rFonts w:hint="default" w:ascii="Wingdings" w:hAnsi="Wingdings"/>
      </w:rPr>
    </w:lvl>
  </w:abstractNum>
  <w:abstractNum w:abstractNumId="8">
    <w:nsid w:val="4E456606"/>
    <w:multiLevelType w:val="multilevel"/>
    <w:tmpl w:val="4E456606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55D471F2"/>
    <w:multiLevelType w:val="multilevel"/>
    <w:tmpl w:val="55D471F2"/>
    <w:lvl w:ilvl="0" w:tentative="0">
      <w:start w:val="1"/>
      <w:numFmt w:val="bullet"/>
      <w:lvlText w:val=""/>
      <w:lvlJc w:val="left"/>
      <w:pPr>
        <w:ind w:left="766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86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06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26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46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66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86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06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26" w:hanging="360"/>
      </w:pPr>
      <w:rPr>
        <w:rFonts w:hint="default" w:ascii="Wingdings" w:hAnsi="Wingdings"/>
      </w:rPr>
    </w:lvl>
  </w:abstractNum>
  <w:abstractNum w:abstractNumId="10">
    <w:nsid w:val="57273746"/>
    <w:multiLevelType w:val="multilevel"/>
    <w:tmpl w:val="57273746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62ED7722"/>
    <w:multiLevelType w:val="multilevel"/>
    <w:tmpl w:val="62ED772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6B433AB4"/>
    <w:multiLevelType w:val="multilevel"/>
    <w:tmpl w:val="6B433AB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6EF756ED"/>
    <w:multiLevelType w:val="multilevel"/>
    <w:tmpl w:val="6EF756E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8"/>
  </w:num>
  <w:num w:numId="5">
    <w:abstractNumId w:val="12"/>
  </w:num>
  <w:num w:numId="6">
    <w:abstractNumId w:val="1"/>
  </w:num>
  <w:num w:numId="7">
    <w:abstractNumId w:val="2"/>
  </w:num>
  <w:num w:numId="8">
    <w:abstractNumId w:val="13"/>
  </w:num>
  <w:num w:numId="9">
    <w:abstractNumId w:val="10"/>
  </w:num>
  <w:num w:numId="10">
    <w:abstractNumId w:val="5"/>
  </w:num>
  <w:num w:numId="11">
    <w:abstractNumId w:val="6"/>
  </w:num>
  <w:num w:numId="12">
    <w:abstractNumId w:val="9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F3A"/>
    <w:rsid w:val="00001DA0"/>
    <w:rsid w:val="00011991"/>
    <w:rsid w:val="000168E8"/>
    <w:rsid w:val="000241DF"/>
    <w:rsid w:val="00040F3A"/>
    <w:rsid w:val="00043888"/>
    <w:rsid w:val="0006415E"/>
    <w:rsid w:val="000666F5"/>
    <w:rsid w:val="00077DBC"/>
    <w:rsid w:val="000A0CEB"/>
    <w:rsid w:val="000A4CC6"/>
    <w:rsid w:val="000A7B0E"/>
    <w:rsid w:val="000C206B"/>
    <w:rsid w:val="000D0506"/>
    <w:rsid w:val="000D11C1"/>
    <w:rsid w:val="000D77C0"/>
    <w:rsid w:val="000F34BF"/>
    <w:rsid w:val="00133D94"/>
    <w:rsid w:val="00152090"/>
    <w:rsid w:val="00172EF7"/>
    <w:rsid w:val="00181E10"/>
    <w:rsid w:val="001C1B89"/>
    <w:rsid w:val="001C6AFA"/>
    <w:rsid w:val="001C6CE8"/>
    <w:rsid w:val="001D56AB"/>
    <w:rsid w:val="001E3216"/>
    <w:rsid w:val="002111AE"/>
    <w:rsid w:val="00212507"/>
    <w:rsid w:val="00227AD8"/>
    <w:rsid w:val="00231C5D"/>
    <w:rsid w:val="0023430A"/>
    <w:rsid w:val="0025278B"/>
    <w:rsid w:val="00256CD8"/>
    <w:rsid w:val="00260D1F"/>
    <w:rsid w:val="00285FFD"/>
    <w:rsid w:val="002D151C"/>
    <w:rsid w:val="002F2E11"/>
    <w:rsid w:val="002F4590"/>
    <w:rsid w:val="002F50CF"/>
    <w:rsid w:val="00314E9D"/>
    <w:rsid w:val="00321912"/>
    <w:rsid w:val="003347A8"/>
    <w:rsid w:val="0034228D"/>
    <w:rsid w:val="00355836"/>
    <w:rsid w:val="003666D8"/>
    <w:rsid w:val="00370ABF"/>
    <w:rsid w:val="00382A2A"/>
    <w:rsid w:val="00384960"/>
    <w:rsid w:val="003909DD"/>
    <w:rsid w:val="00394C5B"/>
    <w:rsid w:val="003A211E"/>
    <w:rsid w:val="003B02A7"/>
    <w:rsid w:val="003B4813"/>
    <w:rsid w:val="003E7A6F"/>
    <w:rsid w:val="00402A89"/>
    <w:rsid w:val="00404602"/>
    <w:rsid w:val="004640DF"/>
    <w:rsid w:val="00484C6F"/>
    <w:rsid w:val="00491956"/>
    <w:rsid w:val="004A01F3"/>
    <w:rsid w:val="004A3C82"/>
    <w:rsid w:val="004B5836"/>
    <w:rsid w:val="004E6E84"/>
    <w:rsid w:val="004F4906"/>
    <w:rsid w:val="005014C7"/>
    <w:rsid w:val="00525529"/>
    <w:rsid w:val="0054588E"/>
    <w:rsid w:val="00557ADD"/>
    <w:rsid w:val="00561AA1"/>
    <w:rsid w:val="00571D50"/>
    <w:rsid w:val="00574953"/>
    <w:rsid w:val="005904BB"/>
    <w:rsid w:val="005B3760"/>
    <w:rsid w:val="005B3F7B"/>
    <w:rsid w:val="005C04A3"/>
    <w:rsid w:val="005C3DDA"/>
    <w:rsid w:val="005C5B51"/>
    <w:rsid w:val="005D65EC"/>
    <w:rsid w:val="005E446D"/>
    <w:rsid w:val="005F04AE"/>
    <w:rsid w:val="00610142"/>
    <w:rsid w:val="00610482"/>
    <w:rsid w:val="00621CEC"/>
    <w:rsid w:val="00641944"/>
    <w:rsid w:val="00643BE2"/>
    <w:rsid w:val="006549BC"/>
    <w:rsid w:val="006975B7"/>
    <w:rsid w:val="006C31B1"/>
    <w:rsid w:val="006C4169"/>
    <w:rsid w:val="0071156A"/>
    <w:rsid w:val="00723B97"/>
    <w:rsid w:val="00725B5E"/>
    <w:rsid w:val="007545D0"/>
    <w:rsid w:val="00783871"/>
    <w:rsid w:val="00795246"/>
    <w:rsid w:val="007C2D27"/>
    <w:rsid w:val="007C7AC9"/>
    <w:rsid w:val="007E549D"/>
    <w:rsid w:val="007F5C2D"/>
    <w:rsid w:val="008041A9"/>
    <w:rsid w:val="008045F9"/>
    <w:rsid w:val="0080722B"/>
    <w:rsid w:val="00813914"/>
    <w:rsid w:val="00830FB9"/>
    <w:rsid w:val="0084571A"/>
    <w:rsid w:val="00852B40"/>
    <w:rsid w:val="00883CF2"/>
    <w:rsid w:val="00891FE0"/>
    <w:rsid w:val="00892D20"/>
    <w:rsid w:val="008E35EB"/>
    <w:rsid w:val="008E78DA"/>
    <w:rsid w:val="009013DF"/>
    <w:rsid w:val="009402CE"/>
    <w:rsid w:val="00950D2D"/>
    <w:rsid w:val="00953C54"/>
    <w:rsid w:val="00962029"/>
    <w:rsid w:val="0096434B"/>
    <w:rsid w:val="00967200"/>
    <w:rsid w:val="009709FF"/>
    <w:rsid w:val="0099134F"/>
    <w:rsid w:val="009A09FE"/>
    <w:rsid w:val="009C1AB3"/>
    <w:rsid w:val="009D226E"/>
    <w:rsid w:val="009D6C0A"/>
    <w:rsid w:val="009F2A7B"/>
    <w:rsid w:val="009F4C46"/>
    <w:rsid w:val="009F5773"/>
    <w:rsid w:val="00A1192E"/>
    <w:rsid w:val="00A16DFF"/>
    <w:rsid w:val="00A171E4"/>
    <w:rsid w:val="00A32B87"/>
    <w:rsid w:val="00A468EC"/>
    <w:rsid w:val="00A635F5"/>
    <w:rsid w:val="00A75D6B"/>
    <w:rsid w:val="00A845FD"/>
    <w:rsid w:val="00AA0C1E"/>
    <w:rsid w:val="00AC67F4"/>
    <w:rsid w:val="00AC7C84"/>
    <w:rsid w:val="00AD5278"/>
    <w:rsid w:val="00AD583F"/>
    <w:rsid w:val="00AE3008"/>
    <w:rsid w:val="00AF6692"/>
    <w:rsid w:val="00B05D7B"/>
    <w:rsid w:val="00B15096"/>
    <w:rsid w:val="00B41539"/>
    <w:rsid w:val="00B460CE"/>
    <w:rsid w:val="00B4699C"/>
    <w:rsid w:val="00B47442"/>
    <w:rsid w:val="00B50746"/>
    <w:rsid w:val="00B61068"/>
    <w:rsid w:val="00B62D41"/>
    <w:rsid w:val="00B65937"/>
    <w:rsid w:val="00BA5910"/>
    <w:rsid w:val="00BE13E5"/>
    <w:rsid w:val="00BF3282"/>
    <w:rsid w:val="00BF578C"/>
    <w:rsid w:val="00C06C67"/>
    <w:rsid w:val="00C26673"/>
    <w:rsid w:val="00C30647"/>
    <w:rsid w:val="00C415A9"/>
    <w:rsid w:val="00C83592"/>
    <w:rsid w:val="00C97149"/>
    <w:rsid w:val="00CA2597"/>
    <w:rsid w:val="00CA34EE"/>
    <w:rsid w:val="00CA469F"/>
    <w:rsid w:val="00CB4EBF"/>
    <w:rsid w:val="00CD402F"/>
    <w:rsid w:val="00CE6F2A"/>
    <w:rsid w:val="00D04E88"/>
    <w:rsid w:val="00D57174"/>
    <w:rsid w:val="00D70171"/>
    <w:rsid w:val="00D7230C"/>
    <w:rsid w:val="00D74C56"/>
    <w:rsid w:val="00D8215D"/>
    <w:rsid w:val="00DA129D"/>
    <w:rsid w:val="00DD5348"/>
    <w:rsid w:val="00DF4081"/>
    <w:rsid w:val="00DF49E6"/>
    <w:rsid w:val="00E12B5A"/>
    <w:rsid w:val="00E12C1A"/>
    <w:rsid w:val="00E21DA8"/>
    <w:rsid w:val="00E2790E"/>
    <w:rsid w:val="00E80D04"/>
    <w:rsid w:val="00EF6428"/>
    <w:rsid w:val="00F45E0E"/>
    <w:rsid w:val="00F471DE"/>
    <w:rsid w:val="00F60C1E"/>
    <w:rsid w:val="00F82CDA"/>
    <w:rsid w:val="00F85C52"/>
    <w:rsid w:val="00F8722B"/>
    <w:rsid w:val="00F9073D"/>
    <w:rsid w:val="00F92F21"/>
    <w:rsid w:val="00F95CAA"/>
    <w:rsid w:val="00FB261E"/>
    <w:rsid w:val="25C6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99"/>
    <w:rPr>
      <w:b/>
      <w:bCs/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Normal (Web)"/>
    <w:basedOn w:val="1"/>
    <w:link w:val="1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7">
    <w:name w:val="Table Grid"/>
    <w:basedOn w:val="3"/>
    <w:qFormat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8">
    <w:name w:val="No Spacing"/>
    <w:qFormat/>
    <w:uiPriority w:val="0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0">
    <w:name w:val="apple-converted-space"/>
    <w:qFormat/>
    <w:uiPriority w:val="0"/>
    <w:rPr>
      <w:rFonts w:cs="Times New Roman"/>
    </w:rPr>
  </w:style>
  <w:style w:type="character" w:customStyle="1" w:styleId="11">
    <w:name w:val="Обычный (веб) Знак"/>
    <w:link w:val="6"/>
    <w:qFormat/>
    <w:locked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6350B-CE9C-483B-9679-D17F57AD0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CtrlSoft</Company>
  <Pages>8</Pages>
  <Words>2438</Words>
  <Characters>19588</Characters>
  <Lines>157</Lines>
  <Paragraphs>44</Paragraphs>
  <TotalTime>290</TotalTime>
  <ScaleCrop>false</ScaleCrop>
  <LinksUpToDate>false</LinksUpToDate>
  <CharactersWithSpaces>22095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2020-03-31T16:02:00Z</dcterms:created>
  <dc:creator>Admin</dc:creator>
  <cp:lastModifiedBy>Нияра Курдова</cp:lastModifiedBy>
  <dcterms:modified xsi:type="dcterms:W3CDTF">2026-05-24T14:27:29Z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eyJoZGlkIjoiMTUyZmE2NDRlMmQ4ODEyZDM1NWMzNTM0MjAxMTNiZTUiLCJ1c2VySWQiOiI4NDE5NjM4MTQyNzEifQ==</vt:lpwstr>
  </property>
  <property fmtid="{D5CDD505-2E9C-101B-9397-08002B2CF9AE}" pid="3" name="KSOProductBuildVer">
    <vt:lpwstr>1049-12.1.0.26372</vt:lpwstr>
  </property>
  <property fmtid="{D5CDD505-2E9C-101B-9397-08002B2CF9AE}" pid="4" name="ICV">
    <vt:lpwstr>21F7D59CB3E64012B8D3A5C3ABA0D192_12</vt:lpwstr>
  </property>
</Properties>
</file>