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C8" w:rsidRPr="00A658B5" w:rsidRDefault="00A658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итогового сочинения (изложения)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 языку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11-х классов</w:t>
      </w:r>
    </w:p>
    <w:p w:rsidR="002879C8" w:rsidRPr="00A658B5" w:rsidRDefault="001037F9" w:rsidP="00A658B5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приказом</w:t>
      </w:r>
      <w:r w:rsid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 06.10.2025 № 1493 «О регистрации участников государственной итоговой аттестации по образовательным программам среднего общего образования в Республике Крым в 2025\2026 учебном году», МКУ Департамент образования Администрации города Симферополя Республики Крым от 13.10. 25 № 571 «О регистрации участников государственной итоговой аттестации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образовательным программам среднего общего образования в городе Симферополе в 2025\2026 учебном году»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658B5">
        <w:rPr>
          <w:rFonts w:hAnsi="Times New Roman" w:cs="Times New Roman"/>
          <w:color w:val="000000"/>
          <w:sz w:val="24"/>
          <w:szCs w:val="24"/>
          <w:lang w:val="ru-RU"/>
        </w:rPr>
        <w:t>3.12.2025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было проведено итоговое сочинение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русскому языку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11-х </w:t>
      </w:r>
      <w:r w:rsidR="00A658B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проверить умение создавать собственное связное высказывание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заданную тему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литературный материал. При этом особое внимание уделяется умению выпускника грамотно аргументировать свои мысли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написании итогового сочинения (изложения)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русскому языку участвовали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обучающихся 11-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количества.</w:t>
      </w:r>
    </w:p>
    <w:p w:rsidR="002879C8" w:rsidRPr="00A658B5" w:rsidRDefault="00A658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Анализ результата проверки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критериям итогового сочинения (изложения) обучающихся 11-х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7"/>
        <w:gridCol w:w="2314"/>
        <w:gridCol w:w="1701"/>
        <w:gridCol w:w="1843"/>
        <w:gridCol w:w="1984"/>
      </w:tblGrid>
      <w:tr w:rsidR="002879C8" w:rsidTr="00857684"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A658B5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2879C8" w:rsidTr="00857684"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№ 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Требование № 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79C8" w:rsidTr="00857684"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№ 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№ 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№ 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№ 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Критерий № 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2879C8" w:rsidTr="00857684"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2879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9C8" w:rsidRDefault="00A658B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57684" w:rsidRDefault="008576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Данные таблицы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наглядно представлены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диаграмме 1.</w:t>
      </w:r>
    </w:p>
    <w:p w:rsidR="001037F9" w:rsidRDefault="001037F9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79C8" w:rsidRDefault="00A658B5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Диаграмма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Результат проверки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критериям итогового сочинения (изложения) обучающихся 11-х классов</w:t>
      </w:r>
    </w:p>
    <w:p w:rsidR="002879C8" w:rsidRPr="00857684" w:rsidRDefault="00857684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93715" cy="2940710"/>
            <wp:effectExtent l="0" t="0" r="1206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79C8" w:rsidRPr="00A658B5" w:rsidRDefault="00A658B5" w:rsidP="0085768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Представленные выше таблица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диаграмма позволяют увидеть, что все обучающиеся 11-х классов, которые присутствовали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испытании, получили «зачет»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работу.</w:t>
      </w:r>
    </w:p>
    <w:p w:rsidR="002879C8" w:rsidRPr="00A658B5" w:rsidRDefault="00A658B5" w:rsidP="00857684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Написание сочинения проверяет умение создавать собственное связное высказывание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заданную тему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опорой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литературный материал. При этом особое внимание уделяется умению выпускника грамотно аргументировать свои мысли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утверждения.</w:t>
      </w:r>
    </w:p>
    <w:p w:rsidR="002879C8" w:rsidRPr="00A658B5" w:rsidRDefault="00A658B5" w:rsidP="0088791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Комплекты тем итогового сочинения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57684">
        <w:rPr>
          <w:rFonts w:hAnsi="Times New Roman" w:cs="Times New Roman"/>
          <w:color w:val="000000"/>
          <w:sz w:val="24"/>
          <w:szCs w:val="24"/>
          <w:lang w:val="ru-RU"/>
        </w:rPr>
        <w:t>2025/26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формировались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закрытого банка тем итогового сочинения.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включает более 1,5 тыс. тем сочинений прошлых лет.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Советом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вопросам проведения итогового сочинения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добавлен новый подраздел «Язык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языковая личность».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этим уточнен комментарий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разделу.</w:t>
      </w:r>
    </w:p>
    <w:p w:rsidR="002879C8" w:rsidRPr="00A658B5" w:rsidRDefault="00A658B5" w:rsidP="0088791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каждый комплект тем итогового сочинения было включено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две темы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каждого раздела банка:</w:t>
      </w:r>
    </w:p>
    <w:p w:rsidR="002879C8" w:rsidRPr="00A658B5" w:rsidRDefault="00A658B5" w:rsidP="008879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темы 1,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«Духовно-нравственные ориентиры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человека»;</w:t>
      </w:r>
    </w:p>
    <w:p w:rsidR="002879C8" w:rsidRPr="00A658B5" w:rsidRDefault="00A658B5" w:rsidP="008879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темы 3,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«Семья, общество, Отечество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человека»;</w:t>
      </w:r>
    </w:p>
    <w:p w:rsidR="002879C8" w:rsidRPr="00A658B5" w:rsidRDefault="00A658B5" w:rsidP="0088791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темы 5,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человека».</w:t>
      </w:r>
    </w:p>
    <w:p w:rsidR="002879C8" w:rsidRDefault="00A658B5" w:rsidP="0088791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«Духовно-нравственные ориентиры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человека»,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вопросами, которые человек задает себе сам,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ситуации нравственного выбора.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79C8" w:rsidRPr="00A658B5" w:rsidRDefault="00A658B5" w:rsidP="0088791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нацеливают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рассуждение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нравственных идеалах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моральных нормах, сиюминутном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вечном, добре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зле,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свободе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ответственности;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касаются размышлений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смысле жизни, гуманном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антигуманном поступках,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мотивах, причинах внутреннего разлада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угрызениях совести;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позволяют задуматься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образе жизни человека,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выборе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жизненного пути, значимой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средствах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достижения, любви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дружбе;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побуждают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самоанализу, осмыслению опыта других людей (или поступков литературных героев), стремящихся понять себя.</w:t>
      </w:r>
    </w:p>
    <w:p w:rsidR="002879C8" w:rsidRDefault="00A658B5" w:rsidP="0088791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Темы 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«Семья, общество, Отечество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связаны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взглядом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 как представителя семьи, социума, народа, поколения, эпохи.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79C8" w:rsidRPr="00A658B5" w:rsidRDefault="00A658B5" w:rsidP="008879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нацеливают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размышление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семейных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общественных ценностях, традициях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обычаях, межличностных отношениях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влиянии среды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касаются вопросов исторического времени, гражданских идеалов, важности сохранения исторической памяти, роли личности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позволяют задуматься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славе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бесславии, личном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общественном, своем вкладе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общественный прогресс;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побуждают рассуждать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воспитании, споре поколений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общественном благополучии,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народном подвиге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направлениях развития общества.</w:t>
      </w:r>
    </w:p>
    <w:p w:rsidR="002879C8" w:rsidRDefault="00A658B5" w:rsidP="0088791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включены темы, которые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философскими, социальными, этическими, эстетическими проблемами, вопросами экологии.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79C8" w:rsidRPr="00A658B5" w:rsidRDefault="00A658B5" w:rsidP="008879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нацеливают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рассуждение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искусстве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науке,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феномене таланта, ценности художественного творчества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научного поиска,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собственных предпочтениях или интересах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науки,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языке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том числе родном)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языковой культуре;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касаются миссии художника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человека науки, важности значения великих творений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научных открытий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юбилейными датами);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позволяют осмысливать роль культуры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человека, связь языка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историей страны, важность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языку, сохранения исторической памяти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традиционных ценностей;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2879C8" w:rsidRPr="00A658B5" w:rsidRDefault="00A658B5" w:rsidP="0088791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побуждают задуматься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природы, направлениях развития культуры, влиянии искусства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новых технологий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человека.</w:t>
      </w:r>
    </w:p>
    <w:p w:rsidR="001037F9" w:rsidRPr="001037F9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Обучающимся был предложен следующий комплект тем сочинений для проведения итогового сочинения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87916"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Республике Крым </w:t>
      </w:r>
    </w:p>
    <w:p w:rsidR="002879C8" w:rsidRPr="00A658B5" w:rsidRDefault="00A658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Комплект тем итогового сочинения № ИС07122023-02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7"/>
        <w:gridCol w:w="8285"/>
      </w:tblGrid>
      <w:tr w:rsidR="002879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A658B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</w:tr>
      <w:tr w:rsidR="002879C8" w:rsidRPr="00A65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887916" w:rsidP="00887916">
            <w:pPr>
              <w:jc w:val="center"/>
              <w:rPr>
                <w:sz w:val="24"/>
                <w:szCs w:val="24"/>
                <w:lang w:val="ru-RU"/>
              </w:rPr>
            </w:pPr>
            <w:r w:rsidRPr="00887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887916" w:rsidP="00887916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879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Опасен ли, по </w:t>
            </w:r>
            <w:r w:rsidRPr="0088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Вашему мнению, эгоизм для любви?</w:t>
            </w:r>
          </w:p>
        </w:tc>
      </w:tr>
      <w:tr w:rsidR="002879C8" w:rsidRPr="00A65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887916" w:rsidP="00887916">
            <w:pPr>
              <w:jc w:val="center"/>
              <w:rPr>
                <w:sz w:val="24"/>
                <w:szCs w:val="24"/>
                <w:lang w:val="ru-RU"/>
              </w:rPr>
            </w:pPr>
            <w:r w:rsidRPr="00887916">
              <w:rPr>
                <w:sz w:val="24"/>
                <w:szCs w:val="24"/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8879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9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Какие поступки по отношению к другим свидетельствуют о духовной зрелости человека?</w:t>
            </w:r>
          </w:p>
        </w:tc>
      </w:tr>
      <w:tr w:rsidR="002879C8" w:rsidRPr="00A65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887916" w:rsidP="00887916">
            <w:pPr>
              <w:jc w:val="center"/>
              <w:rPr>
                <w:sz w:val="24"/>
                <w:szCs w:val="24"/>
                <w:lang w:val="ru-RU"/>
              </w:rPr>
            </w:pPr>
            <w:r w:rsidRPr="00887916">
              <w:rPr>
                <w:sz w:val="24"/>
                <w:szCs w:val="24"/>
                <w:lang w:val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A658B5" w:rsidRDefault="008879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в семье самое главное? </w:t>
            </w:r>
          </w:p>
        </w:tc>
      </w:tr>
      <w:tr w:rsidR="002879C8" w:rsidRPr="00A65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887916" w:rsidP="005D5E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5D5EAB" w:rsidRDefault="005D5EAB" w:rsidP="005D5EAB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Какое событие отечественной истории </w:t>
            </w: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XIX</w:t>
            </w: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века заставляет Вас задуматься о</w:t>
            </w: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будущем</w:t>
            </w:r>
            <w:r w:rsidRPr="005D5E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?</w:t>
            </w:r>
          </w:p>
        </w:tc>
      </w:tr>
      <w:tr w:rsidR="002879C8" w:rsidRPr="00A65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5D5EAB" w:rsidP="005D5E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5D5EAB" w:rsidRDefault="005D5EAB" w:rsidP="005D5EAB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В.М.</w:t>
            </w: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Шукшин писал: «Каждый настоящий писатель, конечно же, психолог». Кого из писателей Вы бы назвали таким знатоком человеческой души?</w:t>
            </w:r>
          </w:p>
        </w:tc>
      </w:tr>
      <w:tr w:rsidR="002879C8" w:rsidRPr="00A658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Pr="00887916" w:rsidRDefault="005D5EAB" w:rsidP="005D5E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9C8" w:rsidRDefault="005D5EA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5D5E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Зачем современному языку устаревшие слова?</w:t>
            </w:r>
          </w:p>
          <w:p w:rsidR="001037F9" w:rsidRPr="005D5EAB" w:rsidRDefault="001037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37F9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Сочинение </w:t>
      </w:r>
      <w:r w:rsidR="005D5EAB">
        <w:rPr>
          <w:rFonts w:hAnsi="Times New Roman" w:cs="Times New Roman"/>
          <w:color w:val="000000"/>
          <w:sz w:val="24"/>
          <w:szCs w:val="24"/>
          <w:lang w:val="ru-RU"/>
        </w:rPr>
        <w:t>писали 11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2879C8" w:rsidRDefault="005D5EAB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Изложение не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писал никто.</w:t>
      </w: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7F9" w:rsidRPr="00A658B5" w:rsidRDefault="001037F9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79C8" w:rsidRPr="00A658B5" w:rsidRDefault="00A658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Диаграмма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Выбор тем итогового сочинения выпускниками 11-го класса</w:t>
      </w:r>
    </w:p>
    <w:p w:rsidR="002879C8" w:rsidRDefault="0074677A">
      <w:r>
        <w:rPr>
          <w:noProof/>
          <w:lang w:val="ru-RU" w:eastAsia="ru-RU"/>
        </w:rPr>
        <w:drawing>
          <wp:inline distT="0" distB="0" distL="0" distR="0">
            <wp:extent cx="5647055" cy="2172614"/>
            <wp:effectExtent l="0" t="0" r="1079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диаграммы видно, что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обучающихся выбрали тему №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 xml:space="preserve"> 306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Самые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непопулярные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— №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 xml:space="preserve"> 513 и 411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их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никто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Чаще всего обучающиеся выбирали темы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«Семья, общество, Отечество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человека». Всего темы этого раздела выбрали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«Природа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культура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жизни человека» выбрали</w:t>
      </w:r>
      <w:r w:rsidR="0074677A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Работы проверялись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критериями оценивания, утвержденными Федеральной службой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надзору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науки.</w:t>
      </w:r>
    </w:p>
    <w:p w:rsidR="002879C8" w:rsidRPr="00A658B5" w:rsidRDefault="00A658B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оценивания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итогового сочинения организациями,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реализующими образовательные программы среднего общего образования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критериям оценивания допускаются итоговые сочинения, соответствующие установленным требованиям.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Объем итогового сочинения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Рекомендуемое количество слов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—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350.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Максимальное количество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сочинении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сочинении менее 250 слов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подсчет включаются все слова,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том числе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служебные),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выставляется 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невыполнение требования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целом (такое сочинение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критериям оценивания).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Требование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Самостоятельность написания итогового сочинения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выполняется самостоятельно.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допускается списывание сочинения (фрагментов сочинения)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какого-либо источника или воспроизведение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памяти чужого текста (работа другого участника, текст, опубликованный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электронном виде,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Допускается прямое или косвенное цитирование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обязательной 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источник (ссылка 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свободной форме). Объем цитирования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должен превышать объема собственного текста участника.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Если сочинение признано несамостоятельным,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выставляется 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невыполнение требования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«незачет»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целом (такое сочинение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критериям оценивания).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сочинение, соответствующее установленным требованиям, оценивается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критериям: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1. Соответствие теме.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2. Аргументация. Привлечение литературного материала.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3. Композиция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логика рассуждения.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Качество письменной речи.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5. Грамотность.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являются основными.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Для получения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итоговое сочинение необходимо получить 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критериям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(выставление «незачета»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этих критериев автоматически ведет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«незачету»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целом),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 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одному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других критериев.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Соответствие теме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проверку содержания сочинения.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Участник должен рассуждать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предложенную тему, выбрав путь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раскрытия (например, отвечает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вопрос, поставленный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теме, или размышляет над предложенной проблемой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случае, если сочинение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соответствует теме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прослеживается конкретной цели высказывания,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есть коммуникативного замысла.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Аргументация. Привлечение литературного материала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исключением малых жанров), другие литературные источники) для аргументации своей позиции.</w:t>
      </w:r>
    </w:p>
    <w:p w:rsidR="002879C8" w:rsidRPr="00A658B5" w:rsidRDefault="00A658B5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Участник должен строить рассуждение, привлекая для аргументации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менее одного произведения отечественной или мировой литературы, избирая свой путь использования литературного материала; при этом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может показать разный уровень осмысления художественного текста: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элементов смыслового анализа (например, тематика, проблематика, сюжет, характеры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п.)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комплексного анализа произведения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единстве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его интерпретации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аспекте выбранной темы.</w:t>
      </w:r>
    </w:p>
    <w:p w:rsidR="002879C8" w:rsidRPr="00A658B5" w:rsidRDefault="00A658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при условии, если сочинение написано без привлечения литературного материала,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нем существенно искажено содержание произведения, или литературные произведения лишь упоминаются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становясь опорой для аргументации.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:rsidR="002879C8" w:rsidRPr="00A658B5" w:rsidRDefault="00A658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Композиция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логика рассуждения</w:t>
      </w:r>
    </w:p>
    <w:p w:rsidR="002879C8" w:rsidRPr="00A658B5" w:rsidRDefault="00A658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проверку умения логично выстраивать рассуждение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предложенную тему. Участник должен выдерживать соотношение между тезисом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доказательствами.</w:t>
      </w:r>
    </w:p>
    <w:p w:rsidR="002879C8" w:rsidRPr="00A658B5" w:rsidRDefault="00A658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«Незачет» ставится, если грубые логические нарушения мешают пониманию </w:t>
      </w:r>
      <w:proofErr w:type="gramStart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proofErr w:type="gramEnd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сказанного или отсутствует </w:t>
      </w:r>
      <w:proofErr w:type="spellStart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-доказательная часть.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Качество письменной речи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нацеливает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проверку речевого оформления текста сочинения.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Участник должен точно выражать мысли, используя разнообразную лексику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различные грамматические конструкции, при необходимости уместно употреблять термины.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«Незачет» ставится при условии, если низкое качество речи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том числе речевые ошибки) существенно затрудняет понимание смысла сочинения.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всех остальных случаях выставляется «зачет».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Грамотность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Данный критерий позволяет оценить грамотность выпускника.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«Незачет» ставится при условии,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100 слов приходится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сумме более пяти ошибок: грамматических, орфографических, пунктуационных.</w:t>
      </w:r>
    </w:p>
    <w:p w:rsidR="002879C8" w:rsidRPr="00A658B5" w:rsidRDefault="00A658B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«Соответствие теме»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Критерий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является важнейшим: выпускник должен откликнуться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предложенную задачу, избежать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подмены, выбрать свой путь рассуждения, сформулировав тезисы, которые предстоит аргументированно раскрыть.</w:t>
      </w:r>
    </w:p>
    <w:p w:rsidR="002879C8" w:rsidRPr="00A658B5" w:rsidRDefault="00A658B5" w:rsidP="0074677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этой задачей справились все обучающиеся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процентов. Выпускники размышляют над предложенной проблемой, строят высказывание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основе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темой тезисов,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художественные произведения, избегая при этом пересказа. Литературный материал используется как основа для собственных размышлений.</w:t>
      </w:r>
    </w:p>
    <w:p w:rsidR="002879C8" w:rsidRPr="00A658B5" w:rsidRDefault="00A658B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«Аргументация. Привлечение литературного материала»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работ показал, что все учащиеся построили свои рассуждения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основе литературного материала. Большинство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них привело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качестве доказательств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менее двух произведений.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«зачет» получили 100</w:t>
      </w:r>
      <w:r w:rsidR="001037F9">
        <w:rPr>
          <w:rFonts w:hAnsi="Times New Roman" w:cs="Times New Roman"/>
          <w:color w:val="000000"/>
          <w:sz w:val="24"/>
          <w:szCs w:val="24"/>
          <w:lang w:val="ru-RU"/>
        </w:rPr>
        <w:t xml:space="preserve"> % 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обучающихся 11-х классов.</w:t>
      </w:r>
    </w:p>
    <w:p w:rsidR="002879C8" w:rsidRPr="00A658B5" w:rsidRDefault="00A658B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«Композиция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логика рассуждения»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Умение логично выстраивать рассуждение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предложенную тему, выдерживать композиционное единство сочинения-рассуждения смогла продемонстрировать большая часть выпускников. Грубых логических ошибок, мешающих пониманию смысла высказывания,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работах участников сочинения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отмечено. Работы учащихся отличаются целостностью, стройностью композиции: вступление, </w:t>
      </w:r>
      <w:proofErr w:type="spellStart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-доказательная часть, заключение тесно связаны между собой. 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Получили 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этому критерию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выпускников.</w:t>
      </w:r>
    </w:p>
    <w:p w:rsidR="002879C8" w:rsidRPr="00A658B5" w:rsidRDefault="00A658B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«Качество письменной речи»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Подавляющее большинство учащихся владеет навыком построения сочинения-рассуждения,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допускает ошибок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композиции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логике высказывания, умеет грамотно использовать литературоведческие термины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коммуникативным замыслом высказывания.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«Зачет»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данному критерию получили 97,2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процента обучающихся 11-х классов. </w:t>
      </w:r>
    </w:p>
    <w:p w:rsidR="002879C8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недостаткам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данному критерию можно отнести следующие: отдельные работы демонстрируют примитивность письменной речи, однообразие синтаксических конструкций, низкий уровень речевой грамотности, неточность изложения фактического материала.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Наиболее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879C8" w:rsidRDefault="00A658B5" w:rsidP="001037F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неудачное словоупотребление;</w:t>
      </w:r>
    </w:p>
    <w:p w:rsidR="002879C8" w:rsidRPr="00A658B5" w:rsidRDefault="00A658B5" w:rsidP="001037F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употребление слов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несвойственных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значениях;</w:t>
      </w:r>
    </w:p>
    <w:p w:rsidR="002879C8" w:rsidRDefault="00A658B5" w:rsidP="001037F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плеоназм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79C8" w:rsidRDefault="00A658B5" w:rsidP="001037F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тавтология;</w:t>
      </w:r>
    </w:p>
    <w:p w:rsidR="002879C8" w:rsidRPr="00A658B5" w:rsidRDefault="00A658B5" w:rsidP="001037F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лексическая избыточность (неоправданное усложнение фраз).</w:t>
      </w:r>
    </w:p>
    <w:p w:rsidR="002879C8" w:rsidRPr="00A658B5" w:rsidRDefault="00A658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сочинений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критерию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A658B5">
        <w:rPr>
          <w:lang w:val="ru-RU"/>
        </w:rPr>
        <w:br/>
      </w: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«Грамотность»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Экспертами комиссий отмечен низкий уровень грамотности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ряде работ участников итогового сочинения.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Получили «незачет» (то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есть допустили более пяти ошибок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слов)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данному критерию два человека (4,6%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 участников итогового сочинения (изложения)).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Типичные орфографические ошибки, допущенные учащимися:</w:t>
      </w:r>
    </w:p>
    <w:p w:rsidR="002879C8" w:rsidRPr="00A658B5" w:rsidRDefault="00A658B5" w:rsidP="001037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«не»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разными частями речи;</w:t>
      </w:r>
    </w:p>
    <w:p w:rsidR="002879C8" w:rsidRPr="00A658B5" w:rsidRDefault="00A658B5" w:rsidP="001037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написании производных союзов;</w:t>
      </w:r>
    </w:p>
    <w:p w:rsidR="002879C8" w:rsidRDefault="00A658B5" w:rsidP="001037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79C8" w:rsidRPr="00A658B5" w:rsidRDefault="00A658B5" w:rsidP="001037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построении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деепричастными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причастными оборотами;</w:t>
      </w:r>
    </w:p>
    <w:p w:rsidR="002879C8" w:rsidRPr="00A658B5" w:rsidRDefault="00A658B5" w:rsidP="001037F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написание усилительной частицы «ни»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Типичные пунктуационные ошибки, допущенные учащимися: наиболее частые ошибки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темами «Пунктуация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вводными конструкциями,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членами», «Пунктуация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предложениях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обособленными второстепенными членами», «Пунктуация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сложных предложениях, состоящих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нескольких частей».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Типичные грамматические ошибки, допущенные учащимися:</w:t>
      </w:r>
    </w:p>
    <w:p w:rsidR="002879C8" w:rsidRDefault="00A658B5" w:rsidP="001037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79C8" w:rsidRPr="00A658B5" w:rsidRDefault="00A658B5" w:rsidP="001037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ошибки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построении предложения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однородными членами,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деепричастными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причастными оборотами;</w:t>
      </w:r>
    </w:p>
    <w:p w:rsidR="002879C8" w:rsidRDefault="00A658B5" w:rsidP="001037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879C8" w:rsidRDefault="00A658B5" w:rsidP="001037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неоправданный пропуск подлежащего;</w:t>
      </w:r>
    </w:p>
    <w:p w:rsidR="002879C8" w:rsidRPr="00A658B5" w:rsidRDefault="00A658B5" w:rsidP="001037F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объединение синтаксической связью разнотипных синтаксических единиц.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отдельную категорию выделяются графические ошибки,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есть различные описки, вызванные невнимательностью пишущего или поспешностью написания. Например, неправильное написание, искажающее звуковой облик слова («</w:t>
      </w:r>
      <w:proofErr w:type="spellStart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рапотает</w:t>
      </w:r>
      <w:proofErr w:type="spellEnd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» вместо «работает», «</w:t>
      </w:r>
      <w:proofErr w:type="spellStart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мемля</w:t>
      </w:r>
      <w:proofErr w:type="spellEnd"/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» вместо «земля»). Эти ошибки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графикой,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есть средствами письменности данного языка, фиксирующими отношения между буквами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письме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звуками устной речи.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графическим средствам, помимо букв, относятся различные приемы сокращения слов, использование пробелов между словами, различные подчеркивания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шрифтовые выделения.</w:t>
      </w:r>
    </w:p>
    <w:p w:rsidR="002879C8" w:rsidRPr="00A658B5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Одиночные графические ошибки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учитываются при проверке,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если таких ошибок больше пяти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слов,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работу следует признать неграмотной.</w:t>
      </w:r>
    </w:p>
    <w:p w:rsidR="002879C8" w:rsidRPr="00A658B5" w:rsidRDefault="00A658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2879C8" w:rsidRPr="00A658B5" w:rsidRDefault="00A658B5" w:rsidP="00BD1D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написании итогового сочинения (изложения)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русскому языку участвовали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обучающихся 11-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 выпускников. Все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обучающихся справились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испытанием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>получили «зачет».</w:t>
      </w:r>
    </w:p>
    <w:p w:rsidR="002879C8" w:rsidRPr="00A658B5" w:rsidRDefault="00A658B5" w:rsidP="001037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  <w:r w:rsidR="001037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Администрации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–ДС №37им. И.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="00BD1D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Генова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 г. Симферополя: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1.1. Усилить контроль работы, ориентированной на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высокие результаты подготовки выпускников к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ГИА. 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1.2. Усилить </w:t>
      </w:r>
      <w:proofErr w:type="spellStart"/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 работы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маршрутам выпускников с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низкой мотивацией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выпускников, способных достичь максимального результата на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ГИА. 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1.3. Организовать методическую поддержку учителей русского языка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литературы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подготовке высокомотивированных выпускников. 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1.4. Проанализировать на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методических совещаниях причины допущенных ошибок, внести соответствующие коррективы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дорожную карту подготовки обучающихся к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ГИА. 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до 20.01.2026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1.5. Довести результаты итогового сочинения (изложения) до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родителей под подпись. </w:t>
      </w:r>
    </w:p>
    <w:p w:rsidR="002879C8" w:rsidRPr="00A658B5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до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25.12.2025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2.Учителю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Замбуровой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2.1. Усилить контроль результативности освоения выпускниками программы, продолжить работу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маршрутам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ГИА-11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русскому языку. 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2.2. Осуществлять планомерную работу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устранению пробелов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знаниях учащихся. Продолжить обучение написанию сочинений разных жанров развивающего, исследовательского характера на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уроках русского языка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литературы. На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уроках развития речи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русскому языку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литературе систематически работать с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текстовой информацией с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целью формирования коммуникативной компетентности обучающихся: «погружаясь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текст», грамотно его интерпретировать, выделять разные виды информации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осознавать оригинальность авторской содержательно-концептуальной позиции, заявленной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тексте. </w:t>
      </w:r>
    </w:p>
    <w:p w:rsidR="001037F9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2.3. Расширить работу по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анализу текста; наряду с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правописными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грамматическими заданиями постоянно предусматривать вопросы на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понимание содержания текста, авторской позиции, языковых средств связи, средств языковой выразительности; ввести в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постоянную практику работы с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текстом формирование корректного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аргументированного личного мнения учащихся о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проблемах, поставленных автором, а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также развитие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чувствовать подтекст. </w:t>
      </w:r>
    </w:p>
    <w:p w:rsidR="002879C8" w:rsidRPr="00A658B5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Срок: постоянно.</w:t>
      </w:r>
      <w:r w:rsidR="00A658B5" w:rsidRPr="00A658B5">
        <w:rPr>
          <w:lang w:val="ru-RU"/>
        </w:rPr>
        <w:br/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2.4. Совершенствовать формы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методы проведения учебных занятий, использовать возможности индивидуального и</w:t>
      </w:r>
      <w:r w:rsidR="00A658B5">
        <w:rPr>
          <w:rFonts w:hAnsi="Times New Roman" w:cs="Times New Roman"/>
          <w:color w:val="000000"/>
          <w:sz w:val="24"/>
          <w:szCs w:val="24"/>
        </w:rPr>
        <w:t> 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дифференцированного обучения для организации процесса обучения. Срок: постоянно.</w:t>
      </w:r>
    </w:p>
    <w:p w:rsidR="002879C8" w:rsidRPr="00A658B5" w:rsidRDefault="00A658B5" w:rsidP="001037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1037F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 МО:</w:t>
      </w:r>
    </w:p>
    <w:p w:rsidR="001037F9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3.1. Обсудить результаты итогового сочинения на заседаниях методических объединений учителей. Разобрать типичные ошибки в развернутых ответах учеников по предметам ГИА и типичные ошибки в итоговом сочинении. </w:t>
      </w:r>
    </w:p>
    <w:p w:rsidR="002879C8" w:rsidRPr="00A658B5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30.12.2025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37F9" w:rsidRDefault="00A658B5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3.2. Включить в текущий контроль задания по предметам из методических рекомендаций ФИПИ по обучению написанию связного текста. Использовать на уроках механизмы подготовки выпускников к написанию развернутого ответа по разным учебным предметам, приемы формирования УУД для написания связных текстов. </w:t>
      </w:r>
    </w:p>
    <w:p w:rsidR="002879C8" w:rsidRPr="00A658B5" w:rsidRDefault="001037F9" w:rsidP="001037F9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16.01.2026</w:t>
      </w:r>
      <w:r w:rsidR="00A658B5" w:rsidRPr="00A65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1D30" w:rsidRDefault="00BD1D30" w:rsidP="001037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79C8" w:rsidRPr="00A658B5" w:rsidRDefault="00A658B5" w:rsidP="001037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658B5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Исполнитель: заместитель директора </w:t>
      </w:r>
      <w:r w:rsidR="001037F9">
        <w:rPr>
          <w:rFonts w:hAnsi="Times New Roman" w:cs="Times New Roman"/>
          <w:color w:val="000000"/>
          <w:sz w:val="24"/>
          <w:szCs w:val="24"/>
          <w:lang w:val="ru-RU"/>
        </w:rPr>
        <w:t xml:space="preserve">по УВР Сивач Наталья Анатольевна </w:t>
      </w:r>
    </w:p>
    <w:p w:rsidR="002879C8" w:rsidRPr="00BD1D30" w:rsidRDefault="001037F9" w:rsidP="001037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2879C8" w:rsidRPr="00BD1D30" w:rsidSect="001037F9">
      <w:pgSz w:w="11907" w:h="16839"/>
      <w:pgMar w:top="1276" w:right="1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4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157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07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06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77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73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74B"/>
    <w:rsid w:val="001037F9"/>
    <w:rsid w:val="002879C8"/>
    <w:rsid w:val="002B6699"/>
    <w:rsid w:val="002D33B1"/>
    <w:rsid w:val="002D3591"/>
    <w:rsid w:val="003514A0"/>
    <w:rsid w:val="004F7E17"/>
    <w:rsid w:val="005A05CE"/>
    <w:rsid w:val="005D5EAB"/>
    <w:rsid w:val="00653AF6"/>
    <w:rsid w:val="0074677A"/>
    <w:rsid w:val="00857684"/>
    <w:rsid w:val="00887916"/>
    <w:rsid w:val="00A658B5"/>
    <w:rsid w:val="00B73A5A"/>
    <w:rsid w:val="00BD1D3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EDE2"/>
  <w15:docId w15:val="{469DA277-39E7-4735-95C2-D5C8263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1D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требование 2 </c:v>
                </c:pt>
                <c:pt idx="1">
                  <c:v>критерий 1 </c:v>
                </c:pt>
                <c:pt idx="2">
                  <c:v>критерий 2 </c:v>
                </c:pt>
                <c:pt idx="3">
                  <c:v>критерий 3</c:v>
                </c:pt>
                <c:pt idx="4">
                  <c:v>критерий 4 </c:v>
                </c:pt>
                <c:pt idx="5">
                  <c:v>критерий 5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82</c:v>
                </c:pt>
                <c:pt idx="5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DD-4644-AB14-3308544694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9739520"/>
        <c:axId val="429997888"/>
      </c:barChart>
      <c:catAx>
        <c:axId val="34973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997888"/>
        <c:crosses val="autoZero"/>
        <c:auto val="1"/>
        <c:lblAlgn val="ctr"/>
        <c:lblOffset val="100"/>
        <c:noMultiLvlLbl val="0"/>
      </c:catAx>
      <c:valAx>
        <c:axId val="42999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973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105</c:v>
                </c:pt>
                <c:pt idx="1">
                  <c:v>206</c:v>
                </c:pt>
                <c:pt idx="2">
                  <c:v>306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</c:v>
                </c:pt>
                <c:pt idx="1">
                  <c:v>27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7D-4FFC-8CC1-DCAD4ADE1F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0002464"/>
        <c:axId val="430006208"/>
      </c:barChart>
      <c:catAx>
        <c:axId val="4300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06208"/>
        <c:crosses val="autoZero"/>
        <c:auto val="1"/>
        <c:lblAlgn val="ctr"/>
        <c:lblOffset val="100"/>
        <c:noMultiLvlLbl val="0"/>
      </c:catAx>
      <c:valAx>
        <c:axId val="43000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0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3D7B-2855-48F7-9C9C-8B3621CD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Наталья Сивач</cp:lastModifiedBy>
  <cp:revision>4</cp:revision>
  <cp:lastPrinted>2026-01-18T17:32:00Z</cp:lastPrinted>
  <dcterms:created xsi:type="dcterms:W3CDTF">2011-11-02T04:15:00Z</dcterms:created>
  <dcterms:modified xsi:type="dcterms:W3CDTF">2026-01-18T19:27:00Z</dcterms:modified>
</cp:coreProperties>
</file>