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74" w:rsidRPr="00EA5009" w:rsidRDefault="009C7674" w:rsidP="009C76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A5009">
        <w:rPr>
          <w:rFonts w:ascii="Times New Roman" w:eastAsia="Times New Roman" w:hAnsi="Times New Roman" w:cs="Times New Roman"/>
          <w:lang w:val="ru-RU" w:eastAsia="ru-RU"/>
        </w:rPr>
        <w:t>Муниципальное бюджетное общеобразовательное учреждение</w:t>
      </w:r>
    </w:p>
    <w:p w:rsidR="009C7674" w:rsidRPr="00EA5009" w:rsidRDefault="009C7674" w:rsidP="009C767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lang w:val="ru-RU" w:eastAsia="ru-RU"/>
        </w:rPr>
      </w:pPr>
      <w:r w:rsidRPr="00EA5009">
        <w:rPr>
          <w:rFonts w:ascii="Times New Roman" w:eastAsia="Times New Roman" w:hAnsi="Times New Roman" w:cs="Times New Roman"/>
          <w:b/>
          <w:lang w:val="ru-RU" w:eastAsia="ru-RU"/>
        </w:rPr>
        <w:t>«Ялтинская средняя школа № 12 с углубленным изучением иностранных языков»</w:t>
      </w:r>
    </w:p>
    <w:p w:rsidR="009C7674" w:rsidRPr="00EA5009" w:rsidRDefault="009C7674" w:rsidP="009C7674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A5009">
        <w:rPr>
          <w:rFonts w:ascii="Times New Roman" w:eastAsia="Times New Roman" w:hAnsi="Times New Roman" w:cs="Times New Roman"/>
          <w:lang w:val="ru-RU" w:eastAsia="ru-RU"/>
        </w:rPr>
        <w:t>муниципального образования городской округ Ялта Республики Крым</w:t>
      </w:r>
    </w:p>
    <w:p w:rsidR="009C7674" w:rsidRDefault="009C7674" w:rsidP="009C7674">
      <w:pPr>
        <w:pStyle w:val="a3"/>
        <w:tabs>
          <w:tab w:val="left" w:pos="8505"/>
        </w:tabs>
        <w:ind w:left="1560" w:firstLine="0"/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4356"/>
      </w:tblGrid>
      <w:tr w:rsidR="00F70898" w:rsidTr="009C7674">
        <w:tc>
          <w:tcPr>
            <w:tcW w:w="48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Pr="009C7674" w:rsidRDefault="00F70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Default="009D3DF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 </w:t>
            </w:r>
          </w:p>
        </w:tc>
      </w:tr>
      <w:tr w:rsidR="00F70898" w:rsidTr="009C7674">
        <w:tc>
          <w:tcPr>
            <w:tcW w:w="48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Default="00F70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Pr="009C7674" w:rsidRDefault="009D3DF3">
            <w:pPr>
              <w:rPr>
                <w:sz w:val="26"/>
                <w:szCs w:val="26"/>
                <w:lang w:val="ru-RU"/>
              </w:rPr>
            </w:pP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Управляющим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советом МБОУ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C7674" w:rsidRPr="009C767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«ЯСШ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№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="009C7674" w:rsidRPr="009C767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2» </w:t>
            </w:r>
          </w:p>
        </w:tc>
      </w:tr>
      <w:tr w:rsidR="00F70898" w:rsidTr="009C7674">
        <w:tc>
          <w:tcPr>
            <w:tcW w:w="48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Default="00F70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898" w:rsidRPr="009C7674" w:rsidRDefault="009D3DF3" w:rsidP="009C7674">
            <w:pPr>
              <w:rPr>
                <w:sz w:val="26"/>
                <w:szCs w:val="26"/>
              </w:rPr>
            </w:pP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протокол</w:t>
            </w:r>
            <w:proofErr w:type="spellEnd"/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от</w:t>
            </w:r>
            <w:proofErr w:type="spellEnd"/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="009C7674" w:rsidRPr="009C7674">
              <w:rPr>
                <w:rFonts w:hAnsi="Times New Roman" w:cs="Times New Roman"/>
                <w:color w:val="000000"/>
                <w:sz w:val="26"/>
                <w:szCs w:val="26"/>
              </w:rPr>
              <w:t>27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.0</w:t>
            </w:r>
            <w:r w:rsidR="009C7674" w:rsidRPr="009C767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  <w:r w:rsidR="009C7674" w:rsidRPr="009C7674">
              <w:rPr>
                <w:rFonts w:hAnsi="Times New Roman" w:cs="Times New Roman"/>
                <w:color w:val="000000"/>
                <w:sz w:val="26"/>
                <w:szCs w:val="26"/>
              </w:rPr>
              <w:t>.2025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 № </w:t>
            </w:r>
            <w:r w:rsidRPr="009C7674">
              <w:rPr>
                <w:rFonts w:hAnsi="Times New Roman" w:cs="Times New Roman"/>
                <w:color w:val="000000"/>
                <w:sz w:val="26"/>
                <w:szCs w:val="26"/>
              </w:rPr>
              <w:t>1)</w:t>
            </w:r>
          </w:p>
        </w:tc>
      </w:tr>
    </w:tbl>
    <w:p w:rsidR="00F70898" w:rsidRDefault="00F70898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Регламент</w:t>
      </w:r>
      <w:r w:rsidRPr="009C767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работы управляющего совета МБОУ </w:t>
      </w:r>
      <w:r w:rsidR="009C7674"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«ЯСШ №12»</w:t>
      </w:r>
    </w:p>
    <w:p w:rsidR="00F70898" w:rsidRPr="009C7674" w:rsidRDefault="00F70898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9C7674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регламент разработан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2012 №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Федерации», уставом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</w:p>
    <w:p w:rsidR="009C7674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Регламент устанавливает порядок организации деятельности управляющего совета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</w:p>
    <w:p w:rsidR="00F70898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Управляющий совет является коллегиальным органом управления образовательной организации, избираемым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 года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управляющего совета входят родители обучающихся, об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учающиеся старше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 (четырнадцати) лет, работники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кооптированные члены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Члены управляющего совета осуществляют свою деятельность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общественных началах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без оплаты.</w:t>
      </w:r>
    </w:p>
    <w:p w:rsidR="009C7674" w:rsidRPr="009C7674" w:rsidRDefault="009C7674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Порядок организации и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проведения заседаний управляюще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 совета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Первое заседание управляющего совета после его создания,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первое заседание нового состава управляющего совета созывается руководителем образовательной организации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7 (семи) рабочих дней после создания управляющего совета или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избрания нового состава управляющего совета, который ведет заседание до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избрания председателя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Периодичность проведения очередных заседаний управляющего совета,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основания проведения внеочередных заседаний управляющего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совета устанавливается уставом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Требование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созыве внеочередного заседания управляющего совета должно содержать указание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инициатора проведения заседания, формулировки вопросов, подлежащих внесению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повестку дня,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подписано инициатором (инициаторами), требующим созыва.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требовании могут содержаться формулировки решений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вопросам, поставленным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голосование,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перечень информации (материалов), предоставляемой членам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2.3.2. Требо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созыве внеочередного заседания управляющего совета представляется председателю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Решение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созыве внеочередного заседания должно быть принято председателем управляющего совета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5-дневный (пятидневный) срок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поступления данного требования.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предложение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включении того или иного вопроса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повестку дня заседания поступило непосредственно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заседании, решение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включении его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повестку дня принимается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для принятия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решений управляющим советом.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 управляющего совета согласовывает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директором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дату, время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проведения заседания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Уведомление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управляющего совета доводится до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членов упра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вляющего совета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5 (пять) рабочих дней до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заседания. Проект повестки дня формируется председателем управляющего совета совместно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председателями комиссий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групп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доводится до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членов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предстоящем заседании управляющего совета вручается либо направляется посредством электронной почты или иной связи члену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содержать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0898" w:rsidRPr="009C7674" w:rsidRDefault="009D3DF3" w:rsidP="009C767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инициатора созыва заседания, предъявившего требование,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проведения внеочередного заседания;</w:t>
      </w:r>
    </w:p>
    <w:p w:rsidR="00F70898" w:rsidRPr="009C7674" w:rsidRDefault="009D3DF3" w:rsidP="009C767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дату, время, место проведения заседания; </w:t>
      </w:r>
    </w:p>
    <w:p w:rsidR="00F70898" w:rsidRPr="009C7674" w:rsidRDefault="009D3DF3" w:rsidP="009C767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повестки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70898" w:rsidRPr="009C7674" w:rsidRDefault="009D3DF3" w:rsidP="009C767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голосования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повестки: открытое, тайное или заочное;</w:t>
      </w:r>
    </w:p>
    <w:p w:rsidR="00F70898" w:rsidRPr="009C7674" w:rsidRDefault="009D3DF3" w:rsidP="009C767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проекты решений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повестки дня, выносимым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голосование, при н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аличии.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уведомлению прилагаются документы, необходимые для принятия решений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невозможности присутствия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член управляющего совета сообщает об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 председателю или заместителю председателя управля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Для обсуждения вопросов повестки дня могут быть приглашены лица,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являющиеся членами управляющего совета. Предложения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приглашению таких лиц готовятся постоянными комиссиями управляющего совета, рабочими группами или иными лицами, ко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торые готовили вопрос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рассмотрению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заседании. Решение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приглашении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лиц,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являющихся его членами, принимается председателем управляющего совета. Лица, приглашенные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заседание, пользуются правом совещательного голоса, могут в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носить предложения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заявления, участвовать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обсуждении вопросов, находящихся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2.7.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начале каждого заседания предложенная повестка дня обсуждается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 управляющим советом.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включенные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утвержденную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начале заседания повес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тку дня вопросы могут быть дополнительно включены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нее принятым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решением управляющего совета.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случае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неутверждения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повестки дня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голосование проводится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 вопросу повестки дня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отдельности.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2.8. После утверждения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управляющим советом повестки дня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идет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порядку, установленному повесткой. Изменения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обсуждения вопросов повестки дня производится принятым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решением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Все решения управляющего совета при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нимаются путем голосования. Форма голосования: открытая или тайная, устанавливается уставом образовательной организации. Открытое голосование осуществляется поднятием руки. Открытое голосование может быть поименным. Поименное голосование производится подня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тием рук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бюллетеней для тайного голосования.</w:t>
      </w:r>
    </w:p>
    <w:p w:rsid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 Решение управляющего совета считается прав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омочным, если за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него проголосовало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менее предусмотренного уставом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  <w:r w:rsid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9C7674" w:rsidRPr="009C7674" w:rsidRDefault="009C7674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создания и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 деятельности комиссий и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рабочих групп управляющего совета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Управляющий совет вправе создавать комиссии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рабочие группы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подготовки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заседаниям управляющего совета или выполнения его решений.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Участие членов управляющего совета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 комиссий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групп управляющего совета осуществляется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волеизъявления членов управляющего совета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регламентом, решениями управляющего совета, регламентирующими деятельность комиссий.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Комиссии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рабочие группы управляющего совета осуществляют свою деятельность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принципах коллегиальности, свободы обсуждения, гласности.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Комиссии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являются постоянно действующими органами управляющего совета.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управляющего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предварительно рассматривают проекты решений управляющего совета; 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осуществляют подготовку заключений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проектам решений, вынесенным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управляющего совета; 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 проекты решений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рассмотрение управляющего совета; 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подготавливают информацию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поручению управляющего совета или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собственной инициативе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вопросам, отнесенным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ведению комиссии; 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компетенции управляющего с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овета осуществляют контроль за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соблюдением решений управляющего совета; </w:t>
      </w:r>
    </w:p>
    <w:p w:rsidR="00F70898" w:rsidRPr="009C7674" w:rsidRDefault="009D3DF3" w:rsidP="009C767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решают вопросы организации своей деятельности.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 вправе запрашивать материалы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документы, необходимые для осуществления их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у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секретаря управляющег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совета, 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директора 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условии соблюдения законодательных требований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персональных данных.</w:t>
      </w:r>
    </w:p>
    <w:p w:rsidR="00F70898" w:rsidRPr="009C7674" w:rsidRDefault="009C7674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</w:t>
      </w:r>
      <w:r w:rsidR="009D3DF3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Управляющий совет вправе для содействия организации своей работы образовывать из</w:t>
      </w:r>
      <w:r w:rsidR="009D3DF3"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3DF3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членов рабочие группы.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Задачи, объем полномочий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деятельности рабочей группы определяется управляющим советом при образовании данной рабочей гр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уппы.</w:t>
      </w:r>
    </w:p>
    <w:p w:rsidR="00F70898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C7674"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Рабочая группа управляющего совета организует свою работу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решения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правилам, предусмотренным настоящим регламентом для комиссии управляющего совета.</w:t>
      </w:r>
    </w:p>
    <w:p w:rsidR="009C7674" w:rsidRPr="009C7674" w:rsidRDefault="009C7674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Права и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обязанности членов управляющего совета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Председательствующим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седании управляющего совета является председатель управляющего совета,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его отсутствия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заместитель председателя управляющего совета.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Председательствующий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должен обеспечить беспрепятственное выражение мнений членов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име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 право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выступление лиц,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поддержание порядка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заседаний.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Председательствующий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 при поименном голосовании голосует последним.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</w:rPr>
        <w:t>4.4. Председательствующий вправе:</w:t>
      </w:r>
    </w:p>
    <w:p w:rsidR="00F70898" w:rsidRPr="009C7674" w:rsidRDefault="009D3DF3" w:rsidP="009C76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лишить выступающего слова, если он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нарушает настоящий реглам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ент, выступает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повестке дня, использует оскорбительные выражения; </w:t>
      </w:r>
    </w:p>
    <w:p w:rsidR="00F70898" w:rsidRPr="009C7674" w:rsidRDefault="009D3DF3" w:rsidP="009C76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обращаться за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справками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членам управляющего совета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должностным лицам, приглашенным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заседание; </w:t>
      </w:r>
    </w:p>
    <w:p w:rsidR="00F70898" w:rsidRPr="009C7674" w:rsidRDefault="009D3DF3" w:rsidP="009C76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приостанавливать дебаты,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относящиеся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обсуждаемому вопросу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предусмотренные режимом работы заседания; </w:t>
      </w:r>
    </w:p>
    <w:p w:rsidR="00F70898" w:rsidRPr="009C7674" w:rsidRDefault="009D3DF3" w:rsidP="009C76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призвать члена управляющего совета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порядку; </w:t>
      </w:r>
    </w:p>
    <w:p w:rsidR="00F70898" w:rsidRPr="009C7674" w:rsidRDefault="009D3DF3" w:rsidP="009C767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прервать заседание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возникновения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зале чрезвычайных обстоятельств,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грубого наруш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порядка ведения заседаний.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</w:rPr>
        <w:t>4.5. Председательствующий обязан: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настоящий регламент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придерживаться повестки дня;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соблюдение прав членов управляющего совета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заседании;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порядок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ходе проведения заседаний;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осущест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влять контроль за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времени выступлений, своевременно напоминать выступающему об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истечении установленного времени;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голосование все поступившие предложения;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сообщать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голосования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 заседания, воздерживаться от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персональных оценок выступлений участников заседания; </w:t>
      </w:r>
    </w:p>
    <w:p w:rsidR="00F70898" w:rsidRPr="009C7674" w:rsidRDefault="009D3DF3" w:rsidP="009C767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во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внимание сообщения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разъяснения председателя комиссии либо рабочей группы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инициатора рассмотрения вопроса.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</w:rPr>
        <w:t>4.6. Член управляющего совета вправе: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избирать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быть избранным </w:t>
      </w:r>
      <w:proofErr w:type="gramStart"/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рабочие</w:t>
      </w:r>
      <w:proofErr w:type="gramEnd"/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управляющего совета, предлагать кандидатов (в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 кандидатуру)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 комиссии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рабочие группы;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предложения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повестке дня, порядку ведения заседания;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поправки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проектам докумен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тов;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обсуждениях вопросов повестки дня, задавать вопросы докладчику (содокладчику);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требовать постановки своих предложений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голосование;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требовать повторного голосования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случаях нарушения установленных правил голосования;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предложения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заслушивании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управляющего совета отчета или информации любой комиссии или рабочей группы либо члена управляющего совета;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оглашать обращения, имеющие общественное значение; </w:t>
      </w:r>
    </w:p>
    <w:p w:rsidR="00F70898" w:rsidRPr="009C7674" w:rsidRDefault="009D3DF3" w:rsidP="009C767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пользоваться другими правами, предоставленными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ему законодательством, уставом образовательной организации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регламентом.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</w:rPr>
        <w:t>4.7. Член управляющего совета обязан:</w:t>
      </w:r>
    </w:p>
    <w:p w:rsidR="00F70898" w:rsidRPr="009C7674" w:rsidRDefault="009D3DF3" w:rsidP="009C767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регламент, повестку дня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председательствующего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заседании; </w:t>
      </w:r>
    </w:p>
    <w:p w:rsidR="00F70898" w:rsidRPr="009C7674" w:rsidRDefault="009D3DF3" w:rsidP="009C767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выступать только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председательствующег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заседании; </w:t>
      </w:r>
    </w:p>
    <w:p w:rsidR="00F70898" w:rsidRPr="009C7674" w:rsidRDefault="009D3DF3" w:rsidP="009C767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допускать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оскорбительных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674">
        <w:rPr>
          <w:rFonts w:ascii="Times New Roman" w:hAnsi="Times New Roman" w:cs="Times New Roman"/>
          <w:color w:val="000000"/>
          <w:sz w:val="28"/>
          <w:szCs w:val="28"/>
        </w:rPr>
        <w:t>выражений</w:t>
      </w:r>
      <w:proofErr w:type="spellEnd"/>
      <w:r w:rsidRPr="009C767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70898" w:rsidRDefault="009D3DF3" w:rsidP="009C767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регистрироваться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 заседании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 заседания.</w:t>
      </w:r>
    </w:p>
    <w:p w:rsidR="009C7674" w:rsidRPr="009C7674" w:rsidRDefault="009C7674" w:rsidP="009C76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70898" w:rsidRPr="009C7674" w:rsidRDefault="009D3DF3" w:rsidP="009C76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Документация управляющего совета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Заседания управляющего совета оформляются протоколами. Протокол заседания управляющего 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составляется не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5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(пяти) рабочих дней после его завершения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экземплярах, подписываемых его председателем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секретарем.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5.2. Протокол составляется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общими требованиями делопроизводства, установленными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рганизации, с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следующих сведений:</w:t>
      </w:r>
    </w:p>
    <w:p w:rsidR="00F70898" w:rsidRPr="009C7674" w:rsidRDefault="009D3DF3" w:rsidP="009C767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членов, принявших участие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заседании, отметка 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соблюдении кворума;</w:t>
      </w:r>
    </w:p>
    <w:p w:rsidR="00F70898" w:rsidRPr="009C7674" w:rsidRDefault="009D3DF3" w:rsidP="009C767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голосов «за», «против»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«воздержался»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 вопросу повестки заседания;</w:t>
      </w:r>
    </w:p>
    <w:p w:rsidR="00F70898" w:rsidRPr="009C7674" w:rsidRDefault="009D3DF3" w:rsidP="009C767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управляющего совета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 вопр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 повестки заседания.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Нумерация протоколов управляющего совета ведется от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учебного года.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обнаружения ошибок, неточностей, недостоверного изложения фактов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протоколе заседания управляющего совета члены управляющего совета вправе треб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овать от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председателя его изменения.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 очередь председатель обязан принять меры по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внесению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 соответствующих изменений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уточнений,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сделать соответствующее сообщение на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следующем заседании управляющего совета, внеся данный вопрос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повестку дня.</w:t>
      </w:r>
    </w:p>
    <w:p w:rsidR="009C7674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Оригиналы протоколов хранятся в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C7674" w:rsidRPr="009C767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МБОУ «ЯСШ №12»</w:t>
      </w:r>
    </w:p>
    <w:p w:rsidR="00F70898" w:rsidRPr="009C7674" w:rsidRDefault="009D3DF3" w:rsidP="009C76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К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протоколу прикладываются вся информация и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материалы, а</w:t>
      </w:r>
      <w:r w:rsidRPr="009C76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76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иные документы, касающиеся решения.</w:t>
      </w:r>
    </w:p>
    <w:p w:rsidR="00F70898" w:rsidRPr="009C7674" w:rsidRDefault="00F708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70898" w:rsidRPr="009C7674" w:rsidSect="009D3DF3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2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D2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4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73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37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42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C7674"/>
    <w:rsid w:val="009D3DF3"/>
    <w:rsid w:val="00B73A5A"/>
    <w:rsid w:val="00E438A1"/>
    <w:rsid w:val="00F01E19"/>
    <w:rsid w:val="00F7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650F7-3AAF-4BC9-84E0-5A999E1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uiPriority w:val="1"/>
    <w:qFormat/>
    <w:rsid w:val="009C7674"/>
    <w:pPr>
      <w:widowControl w:val="0"/>
      <w:autoSpaceDE w:val="0"/>
      <w:autoSpaceDN w:val="0"/>
      <w:spacing w:before="1" w:beforeAutospacing="0" w:after="0" w:afterAutospacing="0"/>
      <w:ind w:left="3749" w:right="2335" w:hanging="1047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uiPriority w:val="1"/>
    <w:rsid w:val="009C7674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school12_6</dc:creator>
  <dc:description>Подготовлено экспертами Актион-МЦФЭР</dc:description>
  <cp:lastModifiedBy>school12_6</cp:lastModifiedBy>
  <cp:revision>2</cp:revision>
  <dcterms:created xsi:type="dcterms:W3CDTF">2025-10-20T14:50:00Z</dcterms:created>
  <dcterms:modified xsi:type="dcterms:W3CDTF">2025-10-20T14:50:00Z</dcterms:modified>
</cp:coreProperties>
</file>