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Математическая грамотность</w:t>
      </w:r>
      <w:r/>
    </w:p>
    <w:p>
      <w:pPr>
        <w:pStyle w:val="59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W w:w="9581" w:type="dxa"/>
        <w:tblInd w:w="-113" w:type="dxa"/>
        <w:tblBorders>
          <w:left w:val="single" w:color="000000" w:sz="4" w:space="0"/>
          <w:top w:val="single" w:color="000000" w:sz="4" w:space="0"/>
          <w:bottom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5"/>
        <w:gridCol w:w="4086"/>
      </w:tblGrid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599"/>
              <w:jc w:val="both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PISA: математическая грамотность. – Минск: РИКЗ, 2020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0" w:tooltip="https://rikc.by/ru/PISA/2-ex__pisa.pdf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https://rikc.by/ru/PISA/2-ex__pisa.pdf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599"/>
              <w:jc w:val="both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 стратегии развития образования. Банк заданий. Естественнонаучная грамотность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1" w:tooltip="http://skiv.instrao.ru/bank-zadaniy/matematicheskaya-gramotnost/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http://skiv.instrao.ru/bank-zadaniy/matematicheskaya-gramotnost/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00"/>
              <w:spacing w:lineRule="auto" w:line="276" w:after="0" w:before="0"/>
              <w:shd w:val="clear" w:fill="FFFFFF" w:color="auto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Банк заданий PISA (математическая грамотность)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2" w:tooltip="https://clck.ru/TeXmB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https://clck.ru/TeXmB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599"/>
              <w:numPr>
                <w:ilvl w:val="0"/>
                <w:numId w:val="0"/>
              </w:numPr>
              <w:jc w:val="left"/>
              <w:spacing w:lineRule="auto" w:line="276"/>
              <w:shd w:val="clear" w:fill="FFFFFF" w:color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Cs/>
                <w:color w:val="212121"/>
                <w:sz w:val="28"/>
                <w:szCs w:val="28"/>
                <w:lang w:eastAsia="ru-RU"/>
              </w:rPr>
              <w:t xml:space="preserve">Сборник заданий по формированию функциональной грамотности учащихся на уроках математики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3" w:tooltip="https://clck.ru/RrBVE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https://clck.ru/RrBVE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599"/>
              <w:jc w:val="both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Сборник тестов по математической грамотности для учащихся 5-11 классов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4" w:tooltip="https://clck.ru/TeVxQ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https://clck.ru/TeVxQ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12"/>
              <w:jc w:val="both"/>
              <w:spacing w:lineRule="auto" w:line="276" w:after="0" w:before="0"/>
              <w:rPr>
                <w:color w:val="000000"/>
                <w:sz w:val="28"/>
                <w:szCs w:val="28"/>
              </w:rPr>
            </w:pPr>
            <w:r>
              <w:rPr>
                <w:rStyle w:val="603"/>
                <w:bCs/>
                <w:color w:val="000000"/>
                <w:sz w:val="28"/>
                <w:szCs w:val="28"/>
              </w:rPr>
              <w:t xml:space="preserve">Математическая грамотность </w:t>
            </w:r>
            <w:r>
              <w:rPr>
                <w:rStyle w:val="604"/>
                <w:bCs/>
                <w:color w:val="000000"/>
                <w:sz w:val="28"/>
                <w:szCs w:val="28"/>
              </w:rPr>
              <w:t xml:space="preserve">Сборник тестовых заданий по математике</w:t>
            </w:r>
            <w:r/>
          </w:p>
          <w:p>
            <w:pPr>
              <w:pStyle w:val="612"/>
              <w:jc w:val="both"/>
              <w:spacing w:lineRule="auto" w:line="276" w:after="0" w:before="0"/>
              <w:rPr>
                <w:bCs/>
                <w:sz w:val="28"/>
                <w:szCs w:val="28"/>
                <w:highlight w:val="white"/>
              </w:rPr>
            </w:pPr>
            <w:r>
              <w:rPr>
                <w:rStyle w:val="604"/>
                <w:bCs/>
                <w:color w:val="000000"/>
                <w:sz w:val="28"/>
                <w:szCs w:val="28"/>
              </w:rPr>
              <w:t xml:space="preserve">(6-7 классы)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5" w:tooltip="https://goo.su/4KQh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https://goo.su/4KQh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12"/>
              <w:jc w:val="both"/>
              <w:spacing w:lineRule="auto" w:line="276" w:after="0" w:before="0"/>
            </w:pPr>
            <w:r>
              <w:rPr>
                <w:rStyle w:val="603"/>
                <w:bCs/>
                <w:color w:val="000000"/>
                <w:sz w:val="28"/>
                <w:szCs w:val="28"/>
              </w:rPr>
              <w:t xml:space="preserve">Математическая грамотность. Банк заданий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6" w:tooltip="https://clck.ru/SGLHf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https://clck.ru/SGLHf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12"/>
              <w:jc w:val="both"/>
              <w:spacing w:lineRule="auto" w:line="276" w:after="0" w:before="0"/>
              <w:rPr>
                <w:rStyle w:val="603"/>
                <w:bCs/>
                <w:color w:val="000000"/>
                <w:sz w:val="28"/>
                <w:szCs w:val="28"/>
              </w:rPr>
            </w:pPr>
            <w:r>
              <w:rPr>
                <w:rStyle w:val="603"/>
                <w:bCs/>
                <w:color w:val="000000"/>
                <w:sz w:val="28"/>
                <w:szCs w:val="28"/>
              </w:rPr>
              <w:t xml:space="preserve">Электронный банк заданий функциональной грамотности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7" w:tooltip="https://fg.resh.edu.ru/functionalliteracy/events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https://fg.resh.edu.ru/functionalliteracy/events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12"/>
              <w:jc w:val="both"/>
              <w:spacing w:lineRule="auto" w:line="276" w:after="0" w:before="0"/>
            </w:pPr>
            <w:r>
              <w:rPr>
                <w:rStyle w:val="603"/>
                <w:bCs/>
                <w:color w:val="000000"/>
                <w:sz w:val="28"/>
                <w:szCs w:val="28"/>
              </w:rPr>
              <w:t xml:space="preserve">Банк заданий по функциональной грамотности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8" w:tooltip="https://media.prosv.ru/fg/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https://media.prosv.ru/fg/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12"/>
              <w:jc w:val="both"/>
              <w:spacing w:lineRule="auto" w:line="276" w:after="0" w:before="0"/>
              <w:rPr>
                <w:rStyle w:val="603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Диагностическая работа для учащихся 5 классов математическая грамотность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9" w:tooltip="https://100balnik.ru.com/wp-content/uploads/2019/09/МА_5_2019_демоверсия.pdf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https://100balnik.ru.com/wp-content/uploads/2019/09/МА_5_2019_демоверсия.pdf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12"/>
              <w:jc w:val="both"/>
              <w:spacing w:lineRule="auto" w:line="276" w:after="0"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Диагностическая работа для учащихся 7 классов математическая грамотность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0" w:tooltip="https://100balnik.ru.com/wp-content/uploads/2019/09/МА_7_2019_демоверсия.pdf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https://100balnik.ru.com/wp-content/uploads/2019/09/МА_7_2019_демоверсия.pdf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12"/>
              <w:jc w:val="both"/>
              <w:spacing w:lineRule="auto" w:line="276" w:after="0"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Примеры открытых заданий PISA по читательской, математической, естественнонаучной, финансовой грамотности и заданий по совместному решению задач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1" w:tooltip="http://center-imc.ru/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http://center-imc.ru/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12"/>
              <w:jc w:val="both"/>
              <w:spacing w:lineRule="auto" w:line="276" w:after="0"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Математическая грамотность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2" w:tooltip="http://testuser7.narod.ru/School3/Ahmetova1.pdf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http://testuser7.narod.ru/School3/Ahmetova1.pdf</w:t>
              </w:r>
            </w:hyperlink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  <w:insideH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00"/>
              <w:jc w:val="both"/>
              <w:spacing w:lineRule="auto" w:line="276" w:after="0" w:before="0"/>
              <w:shd w:val="clear" w:fill="FFFFFF" w:color="auto"/>
              <w:rPr>
                <w:sz w:val="28"/>
                <w:szCs w:val="28"/>
              </w:rPr>
            </w:pPr>
            <w:r>
              <w:rPr>
                <w:b w:val="false"/>
                <w:bCs w:val="false"/>
                <w:color w:val="333333"/>
                <w:sz w:val="28"/>
                <w:szCs w:val="28"/>
              </w:rPr>
              <w:t xml:space="preserve">Тесты по математике для подготовке к PISA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cBorders>
            <w:tcW w:w="4086" w:type="dxa"/>
            <w:textDirection w:val="lrTb"/>
            <w:noWrap w:val="false"/>
          </w:tcPr>
          <w:p>
            <w:pPr>
              <w:pStyle w:val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3" w:tooltip="https://kopilkaurokov.ru/matematika/testi/tiesty-po-matiematikie-dlia-podghotovkie-k-pisa" w:history="1">
              <w:r>
                <w:rPr>
                  <w:rStyle w:val="605"/>
                  <w:rFonts w:ascii="Times New Roman" w:hAnsi="Times New Roman" w:cs="Times New Roman"/>
                  <w:sz w:val="28"/>
                  <w:szCs w:val="28"/>
                </w:rPr>
                <w:t xml:space="preserve">https://kopilkaurokov.ru/matematika/testi/tiesty-po-matiematikie-dlia-podghotovkie-k-pisa</w:t>
              </w:r>
            </w:hyperlink>
            <w:r/>
            <w:r/>
          </w:p>
        </w:tc>
      </w:tr>
    </w:tbl>
    <w:p>
      <w:pPr>
        <w:pStyle w:val="599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00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00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9"/>
    <w:next w:val="59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9"/>
    <w:next w:val="59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9"/>
    <w:next w:val="59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9"/>
    <w:next w:val="59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9"/>
    <w:next w:val="59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9"/>
    <w:next w:val="59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9"/>
    <w:next w:val="59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9"/>
    <w:next w:val="59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9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9"/>
    <w:next w:val="59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9"/>
    <w:next w:val="59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9"/>
    <w:next w:val="59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9"/>
    <w:next w:val="599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9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9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character" w:styleId="45">
    <w:name w:val="Caption Char"/>
    <w:basedOn w:val="610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rPr>
      <w:rFonts w:ascii="Calibri" w:hAnsi="Calibri" w:cs="Times New Roman" w:eastAsia="Calibri"/>
      <w:color w:val="auto"/>
      <w:sz w:val="22"/>
      <w:szCs w:val="22"/>
      <w:lang w:val="ru-RU" w:bidi="ar-SA" w:eastAsia="zh-CN"/>
    </w:rPr>
    <w:pPr>
      <w:jc w:val="center"/>
      <w:widowControl/>
    </w:pPr>
  </w:style>
  <w:style w:type="paragraph" w:styleId="600">
    <w:name w:val="Heading 1"/>
    <w:basedOn w:val="599"/>
    <w:next w:val="608"/>
    <w:qFormat/>
    <w:rPr>
      <w:rFonts w:ascii="Times New Roman" w:hAnsi="Times New Roman" w:cs="Times New Roman" w:eastAsia="Times New Roman"/>
      <w:b/>
      <w:bCs/>
      <w:sz w:val="48"/>
      <w:szCs w:val="48"/>
    </w:rPr>
    <w:pPr>
      <w:numPr>
        <w:ilvl w:val="0"/>
        <w:numId w:val="1"/>
      </w:numPr>
      <w:jc w:val="left"/>
      <w:spacing w:after="280" w:before="280"/>
      <w:outlineLvl w:val="0"/>
    </w:pPr>
  </w:style>
  <w:style w:type="character" w:styleId="601">
    <w:name w:val="Основной шрифт абзаца"/>
    <w:qFormat/>
  </w:style>
  <w:style w:type="character" w:styleId="602">
    <w:name w:val="Заголовок 1 Знак"/>
    <w:basedOn w:val="601"/>
    <w:qFormat/>
    <w:rPr>
      <w:rFonts w:ascii="Times New Roman" w:hAnsi="Times New Roman" w:cs="Times New Roman" w:eastAsia="Times New Roman"/>
      <w:b/>
      <w:bCs/>
      <w:sz w:val="48"/>
      <w:szCs w:val="48"/>
    </w:rPr>
  </w:style>
  <w:style w:type="character" w:styleId="603">
    <w:name w:val="c33"/>
    <w:basedOn w:val="601"/>
    <w:qFormat/>
  </w:style>
  <w:style w:type="character" w:styleId="604">
    <w:name w:val="c29"/>
    <w:basedOn w:val="601"/>
    <w:qFormat/>
  </w:style>
  <w:style w:type="character" w:styleId="605">
    <w:name w:val="Internet Link"/>
    <w:basedOn w:val="601"/>
    <w:rPr>
      <w:color w:val="0000FF"/>
      <w:u w:val="single"/>
    </w:rPr>
  </w:style>
  <w:style w:type="character" w:styleId="606">
    <w:name w:val="Visited Internet Link"/>
    <w:basedOn w:val="601"/>
    <w:rPr>
      <w:color w:val="800080"/>
      <w:u w:val="single"/>
    </w:rPr>
  </w:style>
  <w:style w:type="paragraph" w:styleId="607">
    <w:name w:val="Heading"/>
    <w:basedOn w:val="599"/>
    <w:next w:val="608"/>
    <w:qFormat/>
    <w:rPr>
      <w:rFonts w:ascii="Arial" w:hAnsi="Arial" w:cs="DejaVu Sans" w:eastAsia="DejaVu Sans"/>
      <w:sz w:val="28"/>
      <w:szCs w:val="28"/>
    </w:rPr>
    <w:pPr>
      <w:keepNext/>
      <w:spacing w:after="120" w:before="240"/>
    </w:pPr>
  </w:style>
  <w:style w:type="paragraph" w:styleId="608">
    <w:name w:val="Body Text"/>
    <w:basedOn w:val="599"/>
    <w:pPr>
      <w:spacing w:lineRule="auto" w:line="276" w:after="140" w:before="0"/>
    </w:pPr>
  </w:style>
  <w:style w:type="paragraph" w:styleId="609">
    <w:name w:val="List"/>
    <w:basedOn w:val="608"/>
  </w:style>
  <w:style w:type="paragraph" w:styleId="610">
    <w:name w:val="Caption"/>
    <w:basedOn w:val="599"/>
    <w:qFormat/>
    <w:rPr>
      <w:i/>
      <w:iCs/>
      <w:sz w:val="24"/>
      <w:szCs w:val="24"/>
    </w:rPr>
    <w:pPr>
      <w:spacing w:after="120" w:before="120"/>
      <w:suppressLineNumbers/>
    </w:pPr>
  </w:style>
  <w:style w:type="paragraph" w:styleId="611">
    <w:name w:val="Index"/>
    <w:basedOn w:val="599"/>
    <w:qFormat/>
    <w:pPr>
      <w:suppressLineNumbers/>
    </w:pPr>
  </w:style>
  <w:style w:type="paragraph" w:styleId="612">
    <w:name w:val="c39"/>
    <w:basedOn w:val="599"/>
    <w:qFormat/>
    <w:rPr>
      <w:rFonts w:ascii="Times New Roman" w:hAnsi="Times New Roman" w:cs="Times New Roman" w:eastAsia="Times New Roman"/>
      <w:sz w:val="24"/>
      <w:szCs w:val="24"/>
    </w:rPr>
    <w:pPr>
      <w:jc w:val="left"/>
      <w:spacing w:after="280" w:before="280"/>
    </w:pPr>
  </w:style>
  <w:style w:type="paragraph" w:styleId="613">
    <w:name w:val="Table Contents"/>
    <w:basedOn w:val="599"/>
    <w:qFormat/>
    <w:pPr>
      <w:suppressLineNumbers/>
    </w:pPr>
  </w:style>
  <w:style w:type="paragraph" w:styleId="614">
    <w:name w:val="Table Heading"/>
    <w:basedOn w:val="613"/>
    <w:qFormat/>
    <w:rPr>
      <w:b/>
      <w:bCs/>
    </w:rPr>
    <w:pPr>
      <w:jc w:val="center"/>
      <w:suppressLineNumbers/>
    </w:pPr>
  </w:style>
  <w:style w:type="character" w:styleId="969" w:default="1">
    <w:name w:val="Default Paragraph Font"/>
    <w:uiPriority w:val="1"/>
    <w:semiHidden/>
    <w:unhideWhenUsed/>
  </w:style>
  <w:style w:type="numbering" w:styleId="970" w:default="1">
    <w:name w:val="No List"/>
    <w:uiPriority w:val="99"/>
    <w:semiHidden/>
    <w:unhideWhenUsed/>
  </w:style>
  <w:style w:type="table" w:styleId="9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rikc.by/ru/PISA/2-ex__pisa.pdf" TargetMode="External"/><Relationship Id="rId11" Type="http://schemas.openxmlformats.org/officeDocument/2006/relationships/hyperlink" Target="http://skiv.instrao.ru/bank-zadaniy/matematicheskaya-gramotnost/" TargetMode="External"/><Relationship Id="rId12" Type="http://schemas.openxmlformats.org/officeDocument/2006/relationships/hyperlink" Target="https://clck.ru/TeXmB" TargetMode="External"/><Relationship Id="rId13" Type="http://schemas.openxmlformats.org/officeDocument/2006/relationships/hyperlink" Target="https://clck.ru/RrBVE" TargetMode="External"/><Relationship Id="rId14" Type="http://schemas.openxmlformats.org/officeDocument/2006/relationships/hyperlink" Target="https://clck.ru/TeVxQ" TargetMode="External"/><Relationship Id="rId15" Type="http://schemas.openxmlformats.org/officeDocument/2006/relationships/hyperlink" Target="https://goo.su/4KQh" TargetMode="External"/><Relationship Id="rId16" Type="http://schemas.openxmlformats.org/officeDocument/2006/relationships/hyperlink" Target="https://clck.ru/SGLHf" TargetMode="External"/><Relationship Id="rId17" Type="http://schemas.openxmlformats.org/officeDocument/2006/relationships/hyperlink" Target="https://fg.resh.edu.ru/functionalliteracy/events" TargetMode="External"/><Relationship Id="rId18" Type="http://schemas.openxmlformats.org/officeDocument/2006/relationships/hyperlink" Target="https://media.prosv.ru/fg/" TargetMode="External"/><Relationship Id="rId19" Type="http://schemas.openxmlformats.org/officeDocument/2006/relationships/hyperlink" Target="https://100balnik.ru.com/wp-content/uploads/2019/09/&#1052;&#1040;_5_2019_&#1076;&#1077;&#1084;&#1086;&#1074;&#1077;&#1088;&#1089;&#1080;&#1103;.pdf" TargetMode="External"/><Relationship Id="rId20" Type="http://schemas.openxmlformats.org/officeDocument/2006/relationships/hyperlink" Target="https://100balnik.ru.com/wp-content/uploads/2019/09/&#1052;&#1040;_7_2019_&#1076;&#1077;&#1084;&#1086;&#1074;&#1077;&#1088;&#1089;&#1080;&#1103;.pdf" TargetMode="External"/><Relationship Id="rId21" Type="http://schemas.openxmlformats.org/officeDocument/2006/relationships/hyperlink" Target="http://center-imc.ru/" TargetMode="External"/><Relationship Id="rId22" Type="http://schemas.openxmlformats.org/officeDocument/2006/relationships/hyperlink" Target="http://testuser7.narod.ru/School3/Ahmetova1.pdf" TargetMode="External"/><Relationship Id="rId23" Type="http://schemas.openxmlformats.org/officeDocument/2006/relationships/hyperlink" Target="https://kopilkaurokov.ru/matematika/testi/tiesty-po-matiematikie-dlia-podghotovkie-k-pis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Vasjukina</dc:creator>
  <dc:description/>
  <dc:language>en-US</dc:language>
  <cp:lastModifiedBy>Анатолий Александрович Захаркин</cp:lastModifiedBy>
  <cp:revision>2</cp:revision>
  <dcterms:created xsi:type="dcterms:W3CDTF">2021-03-10T14:37:00Z</dcterms:created>
  <dcterms:modified xsi:type="dcterms:W3CDTF">2021-10-25T12:29:30Z</dcterms:modified>
</cp:coreProperties>
</file>