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240"/>
        <w:ind w:firstLine="0" w:left="993"/>
        <w:jc w:val="left"/>
        <w:rPr>
          <w:rFonts w:ascii="MS&quot;" w:hAnsi="MS&quot;"/>
          <w:b w:val="1"/>
          <w:caps w:val="0"/>
          <w:color w:val="000000"/>
          <w:spacing w:val="0"/>
          <w:sz w:val="28"/>
          <w:highlight w:val="white"/>
        </w:rPr>
      </w:pPr>
      <w:bookmarkStart w:id="1" w:name="_Hlk96089082"/>
      <w:bookmarkEnd w:id="1"/>
      <w:r>
        <w:rPr>
          <w:sz w:val="24"/>
        </w:rPr>
        <w:t xml:space="preserve">               </w:t>
      </w:r>
      <w:r>
        <w:rPr>
          <w:rFonts w:ascii="MS&quot;" w:hAnsi="MS&quot;"/>
          <w:b w:val="1"/>
          <w:caps w:val="0"/>
          <w:color w:val="000000"/>
          <w:spacing w:val="0"/>
          <w:sz w:val="28"/>
          <w:highlight w:val="white"/>
        </w:rPr>
        <w:t>Справка об итогах работы школы</w:t>
      </w:r>
    </w:p>
    <w:p w14:paraId="02000000">
      <w:pPr>
        <w:spacing w:before="240"/>
        <w:ind w:firstLine="0" w:left="993"/>
        <w:jc w:val="left"/>
        <w:rPr>
          <w:rFonts w:ascii="MS&quot;" w:hAnsi="MS&quot;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MS&quot;" w:hAnsi="MS&quot;"/>
          <w:b w:val="1"/>
          <w:caps w:val="0"/>
          <w:color w:val="000000"/>
          <w:spacing w:val="0"/>
          <w:sz w:val="28"/>
          <w:highlight w:val="white"/>
        </w:rPr>
        <w:t xml:space="preserve"> по направлению «Функциональная грамотность»</w:t>
      </w:r>
    </w:p>
    <w:p w14:paraId="03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  <w:t xml:space="preserve"> ноябрь 2025 года</w:t>
      </w:r>
    </w:p>
    <w:p w14:paraId="04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  <w:t>В ноябре 2025 года в школе было проведено онлайн‑тестирование учащихся</w:t>
      </w:r>
      <w:r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  <w:t> </w:t>
      </w:r>
      <w:r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  <w:t>3–11‑х классов</w:t>
      </w:r>
      <w:r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  <w:t>на платформе МЦКО по направлениям функциональной грамотности. Цель мероприятия — оценка уровня сформированности ключевых компетентностей учащихся в соответствии с требованиями ФГОС.</w:t>
      </w:r>
    </w:p>
    <w:p w14:paraId="05000000">
      <w:pPr>
        <w:spacing w:after="60" w:before="300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  <w:t>Общие параметры проведения</w:t>
      </w:r>
    </w:p>
    <w:p w14:paraId="06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Формат: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онлайн‑тестирование на сайте МЦКО.</w:t>
      </w:r>
    </w:p>
    <w:p w14:paraId="07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Участники: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учащиеся 3–11‑х классов.</w:t>
      </w:r>
    </w:p>
    <w:p w14:paraId="08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Период: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ноябрь 2025 года.</w:t>
      </w:r>
    </w:p>
    <w:p w14:paraId="09000000">
      <w:pPr>
        <w:numPr>
          <w:ilvl w:val="0"/>
          <w:numId w:val="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Направления:</w:t>
      </w:r>
    </w:p>
    <w:p w14:paraId="0A000000">
      <w:pPr>
        <w:numPr>
          <w:ilvl w:val="1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читательская грамотность;</w:t>
      </w:r>
    </w:p>
    <w:p w14:paraId="0B000000">
      <w:pPr>
        <w:numPr>
          <w:ilvl w:val="1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математическая грамотность;</w:t>
      </w:r>
    </w:p>
    <w:p w14:paraId="0C000000">
      <w:pPr>
        <w:numPr>
          <w:ilvl w:val="1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естественнонаучная грамотность;</w:t>
      </w:r>
    </w:p>
    <w:p w14:paraId="0D000000">
      <w:pPr>
        <w:numPr>
          <w:ilvl w:val="1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финансовая грамотность;</w:t>
      </w:r>
    </w:p>
    <w:p w14:paraId="0E000000">
      <w:pPr>
        <w:numPr>
          <w:ilvl w:val="1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глобальные компетенции;</w:t>
      </w:r>
    </w:p>
    <w:p w14:paraId="0F000000">
      <w:pPr>
        <w:numPr>
          <w:ilvl w:val="1"/>
          <w:numId w:val="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креативное мышление.</w:t>
      </w:r>
    </w:p>
    <w:p w14:paraId="10000000">
      <w:pPr>
        <w:spacing w:after="60" w:before="300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  <w:t>Ответственные педагоги по направлениям</w:t>
      </w:r>
    </w:p>
    <w:p w14:paraId="11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Читательская грамотность</w:t>
      </w:r>
    </w:p>
    <w:p w14:paraId="12000000">
      <w:pPr>
        <w:numPr>
          <w:ilvl w:val="1"/>
          <w:numId w:val="4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Рязанова А. С. (3–4 классы);</w:t>
      </w:r>
    </w:p>
    <w:p w14:paraId="13000000">
      <w:pPr>
        <w:numPr>
          <w:ilvl w:val="1"/>
          <w:numId w:val="4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Ильясова А.К. (5–11 классы).</w:t>
      </w:r>
    </w:p>
    <w:p w14:paraId="14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Математическая грамотность</w:t>
      </w:r>
    </w:p>
    <w:p w14:paraId="15000000">
      <w:pPr>
        <w:numPr>
          <w:ilvl w:val="1"/>
          <w:numId w:val="5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Мальнева Е. В. (3–4 классы);</w:t>
      </w:r>
    </w:p>
    <w:p w14:paraId="16000000">
      <w:pPr>
        <w:numPr>
          <w:ilvl w:val="1"/>
          <w:numId w:val="5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Молчанова Т.Ю. (5–11 классы).</w:t>
      </w:r>
    </w:p>
    <w:p w14:paraId="17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Естественнонаучная грамотность</w:t>
      </w:r>
    </w:p>
    <w:p w14:paraId="18000000">
      <w:pPr>
        <w:numPr>
          <w:ilvl w:val="1"/>
          <w:numId w:val="6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Брыжова С. В. (3–4 классы);</w:t>
      </w:r>
    </w:p>
    <w:p w14:paraId="19000000">
      <w:pPr>
        <w:numPr>
          <w:ilvl w:val="1"/>
          <w:numId w:val="6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Черныш Е.В.. (5–11 классы).</w:t>
      </w:r>
    </w:p>
    <w:p w14:paraId="1A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Финансовая грамотность</w:t>
      </w:r>
    </w:p>
    <w:p w14:paraId="1B000000">
      <w:pPr>
        <w:numPr>
          <w:ilvl w:val="1"/>
          <w:numId w:val="7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Зекирьяева Г. Ш. (3-4 классы);</w:t>
      </w:r>
    </w:p>
    <w:p w14:paraId="1C000000">
      <w:pPr>
        <w:numPr>
          <w:ilvl w:val="1"/>
          <w:numId w:val="7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Халилова Э.А.. (5–11 классы).</w:t>
      </w:r>
    </w:p>
    <w:p w14:paraId="1D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Глобальные компетенции</w:t>
      </w:r>
    </w:p>
    <w:p w14:paraId="1E000000">
      <w:pPr>
        <w:numPr>
          <w:ilvl w:val="1"/>
          <w:numId w:val="8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Федюкина А. А. (3–4 классы);</w:t>
      </w:r>
    </w:p>
    <w:p w14:paraId="1F000000">
      <w:pPr>
        <w:numPr>
          <w:ilvl w:val="1"/>
          <w:numId w:val="8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Измайлов Э. И. (5–11 классы).</w:t>
      </w:r>
    </w:p>
    <w:p w14:paraId="20000000">
      <w:pPr>
        <w:numPr>
          <w:ilvl w:val="0"/>
          <w:numId w:val="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Креативное мышление</w:t>
      </w:r>
    </w:p>
    <w:p w14:paraId="21000000">
      <w:pPr>
        <w:numPr>
          <w:ilvl w:val="1"/>
          <w:numId w:val="9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Клиблеева Л.С. . (3–4 классы);</w:t>
      </w:r>
    </w:p>
    <w:p w14:paraId="22000000">
      <w:pPr>
        <w:numPr>
          <w:ilvl w:val="1"/>
          <w:numId w:val="9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Урбаневич В.А. (5–11 классы).</w:t>
      </w:r>
    </w:p>
    <w:p w14:paraId="23000000">
      <w:pPr>
        <w:spacing w:after="60" w:before="300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  <w:t>Основные результаты</w:t>
      </w:r>
    </w:p>
    <w:p w14:paraId="24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  <w:t>По итогам тестирования проведён первичный анализ данных по каждому направлению. Ниже — краткие выводы по ступеням обучения.</w:t>
      </w:r>
    </w:p>
    <w:p w14:paraId="25000000">
      <w:pPr>
        <w:numPr>
          <w:ilvl w:val="0"/>
          <w:numId w:val="10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Начальное звено (3–4 классы):</w:t>
      </w:r>
    </w:p>
    <w:p w14:paraId="26000000">
      <w:pPr>
        <w:numPr>
          <w:ilvl w:val="1"/>
          <w:numId w:val="1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Наивысшие показатели — в области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читательской грамотности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(средний уровень освоения — 78 %).</w:t>
      </w:r>
    </w:p>
    <w:p w14:paraId="27000000">
      <w:pPr>
        <w:numPr>
          <w:ilvl w:val="1"/>
          <w:numId w:val="1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Заметный рост по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математической грамотности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у 3–4 классов (на 12 % относительно стартовой диагностики).</w:t>
      </w:r>
    </w:p>
    <w:p w14:paraId="28000000">
      <w:pPr>
        <w:numPr>
          <w:ilvl w:val="1"/>
          <w:numId w:val="11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Сложности выявлены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естественнонаучной грамотности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: 34 % учащихся показали низкий уровень понимания базовых понятий.</w:t>
      </w:r>
    </w:p>
    <w:p w14:paraId="29000000">
      <w:pPr>
        <w:numPr>
          <w:ilvl w:val="0"/>
          <w:numId w:val="10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Основное звено (5–9 классы):</w:t>
      </w:r>
    </w:p>
    <w:p w14:paraId="2A000000">
      <w:pPr>
        <w:numPr>
          <w:ilvl w:val="1"/>
          <w:numId w:val="1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Стабильно высокие результаты по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математической и читательской грамотности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(средние показатели — 72–75 %).</w:t>
      </w:r>
    </w:p>
    <w:p w14:paraId="2B000000">
      <w:pPr>
        <w:numPr>
          <w:ilvl w:val="1"/>
          <w:numId w:val="1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финансовой грамотности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41 % учащихся испытывают затруднения с задачами на бюджетирование и риски.</w:t>
      </w:r>
    </w:p>
    <w:p w14:paraId="2C000000">
      <w:pPr>
        <w:numPr>
          <w:ilvl w:val="1"/>
          <w:numId w:val="12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глобальных компетенциях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отмечен прогресс в умениях анализировать межкультурные ситуации (рост на 9 %).</w:t>
      </w:r>
    </w:p>
    <w:p w14:paraId="2D000000">
      <w:pPr>
        <w:numPr>
          <w:ilvl w:val="0"/>
          <w:numId w:val="10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Старшее звено (10–11 классы):</w:t>
      </w:r>
    </w:p>
    <w:p w14:paraId="2E000000">
      <w:pPr>
        <w:numPr>
          <w:ilvl w:val="1"/>
          <w:numId w:val="1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Лучшие результаты — 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креативном мышлении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(68 % выполнили задания на генерацию идей выше базового уровня).</w:t>
      </w:r>
    </w:p>
    <w:p w14:paraId="2F000000">
      <w:pPr>
        <w:numPr>
          <w:ilvl w:val="1"/>
          <w:numId w:val="1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естественнонаучной грамотности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29 % не справились с задачами на интерпретацию данных экспериментов.</w:t>
      </w:r>
    </w:p>
    <w:p w14:paraId="30000000">
      <w:pPr>
        <w:numPr>
          <w:ilvl w:val="1"/>
          <w:numId w:val="13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финансовой грамотности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слабые показатели по темам инвестиций и кредитования (средний балл — 54 %).</w:t>
      </w:r>
    </w:p>
    <w:p w14:paraId="31000000">
      <w:pPr>
        <w:spacing w:after="60" w:before="300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  <w:t>Выводы и рекомендации</w:t>
      </w:r>
    </w:p>
    <w:p w14:paraId="32000000">
      <w:pPr>
        <w:numPr>
          <w:ilvl w:val="0"/>
          <w:numId w:val="14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Усиление методической работы:</w:t>
      </w:r>
    </w:p>
    <w:p w14:paraId="33000000">
      <w:pPr>
        <w:numPr>
          <w:ilvl w:val="1"/>
          <w:numId w:val="15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Организовать семинары для учителей по методам формирования естественнонаучной и финансовой грамотности.</w:t>
      </w:r>
    </w:p>
    <w:p w14:paraId="34000000">
      <w:pPr>
        <w:numPr>
          <w:ilvl w:val="1"/>
          <w:numId w:val="15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Разработать банк заданий для 5–9 классов по темам, которые вызвали затруднения.</w:t>
      </w:r>
    </w:p>
    <w:p w14:paraId="35000000">
      <w:pPr>
        <w:numPr>
          <w:ilvl w:val="0"/>
          <w:numId w:val="14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Индивидуальная работа с учащимися:</w:t>
      </w:r>
    </w:p>
    <w:p w14:paraId="36000000">
      <w:pPr>
        <w:numPr>
          <w:ilvl w:val="1"/>
          <w:numId w:val="16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Провести коррекционные занятия для групп с низким уровнем по естественнонаучной грамотности (3–4 и 8–9 классы).</w:t>
      </w:r>
    </w:p>
    <w:p w14:paraId="37000000">
      <w:pPr>
        <w:numPr>
          <w:ilvl w:val="1"/>
          <w:numId w:val="16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Включить в план внеурочной деятельности тренинги по финансовому планированию для 9–11 классов.</w:t>
      </w:r>
    </w:p>
    <w:p w14:paraId="38000000">
      <w:pPr>
        <w:numPr>
          <w:ilvl w:val="0"/>
          <w:numId w:val="14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  <w:t>Мониторинг динамики:</w:t>
      </w:r>
    </w:p>
    <w:p w14:paraId="39000000">
      <w:pPr>
        <w:numPr>
          <w:ilvl w:val="1"/>
          <w:numId w:val="17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Запланировать повторное тестирование по «проблемным» направлениям в феврале 2026 года.</w:t>
      </w:r>
    </w:p>
    <w:p w14:paraId="3A000000">
      <w:pPr>
        <w:numPr>
          <w:ilvl w:val="1"/>
          <w:numId w:val="17"/>
        </w:numPr>
        <w:spacing w:after="120" w:before="12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  <w:t>Внедрить мини‑диагностики раз в четверть для отслеживания прогресса.</w:t>
      </w:r>
    </w:p>
    <w:p w14:paraId="3B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  <w:t>Ответственные за реализацию рекомендаций:</w:t>
      </w:r>
      <w:r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  <w:t> </w:t>
      </w:r>
      <w:r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  <w:t>заместитель директора по УВР Филина Л.Н., руководители МО, классные руководители.</w:t>
      </w:r>
    </w:p>
    <w:p w14:paraId="3C000000">
      <w:pPr>
        <w:spacing w:after="120" w:before="120"/>
        <w:ind w:firstLine="0" w:left="0" w:right="0"/>
        <w:jc w:val="left"/>
        <w:rPr>
          <w:rFonts w:ascii="Times New Roman" w:hAnsi="Times New Roman"/>
          <w:b w:val="0"/>
          <w:caps w:val="0"/>
          <w:color w:val="000000"/>
          <w:spacing w:val="0"/>
          <w:highlight w:val="white"/>
        </w:rPr>
      </w:pPr>
    </w:p>
    <w:p w14:paraId="3D000000">
      <w:pPr>
        <w:spacing w:after="0" w:before="120"/>
        <w:ind w:firstLine="0" w:left="0" w:right="0"/>
        <w:jc w:val="left"/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highlight w:val="white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highlight w:val="white"/>
        </w:rPr>
        <w:t xml:space="preserve">30.11.2025     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highlight w:val="white"/>
        </w:rPr>
        <w:t xml:space="preserve">руководитель мо 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highlight w:val="white"/>
        </w:rPr>
        <w:t xml:space="preserve">  </w:t>
      </w:r>
      <w:r>
        <w:rPr>
          <w:rFonts w:ascii="Times New Roman" w:hAnsi="Times New Roman"/>
          <w:b w:val="1"/>
          <w:i w:val="1"/>
          <w:caps w:val="0"/>
          <w:color w:val="000000"/>
          <w:spacing w:val="0"/>
          <w:highlight w:val="white"/>
        </w:rPr>
        <w:t xml:space="preserve"> </w:t>
      </w:r>
      <w:r>
        <w:rPr>
          <w:rFonts w:ascii="Times New Roman" w:hAnsi="Times New Roman"/>
          <w:b w:val="1"/>
          <w:caps w:val="0"/>
          <w:color w:val="000000"/>
          <w:spacing w:val="0"/>
          <w:highlight w:val="white"/>
        </w:rPr>
        <w:t>Финогенова И.Ю.</w:t>
      </w:r>
      <w:r>
        <w:rPr>
          <w:sz w:val="24"/>
        </w:rPr>
        <w:t xml:space="preserve">                </w:t>
      </w:r>
    </w:p>
    <w:sectPr>
      <w:pgSz w:h="16838" w:orient="portrait" w:w="11906"/>
      <w:pgMar w:bottom="709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5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6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7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8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9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3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4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5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6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0" w:line="240" w:lineRule="auto"/>
      <w:ind/>
    </w:pPr>
    <w:rPr>
      <w:rFonts w:ascii="Times New Roman" w:hAnsi="Times New Roman"/>
    </w:rPr>
  </w:style>
  <w:style w:default="1" w:styleId="Style_1_ch" w:type="character">
    <w:name w:val="Normal"/>
    <w:link w:val="Style_1"/>
    <w:rPr>
      <w:rFonts w:ascii="Times New Roman" w:hAnsi="Times New Roman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Body Text"/>
    <w:basedOn w:val="Style_1"/>
    <w:link w:val="Style_19_ch"/>
    <w:pPr>
      <w:ind w:firstLine="709" w:left="822"/>
      <w:jc w:val="both"/>
    </w:pPr>
    <w:rPr>
      <w:sz w:val="26"/>
    </w:rPr>
  </w:style>
  <w:style w:styleId="Style_19_ch" w:type="character">
    <w:name w:val="Body Text"/>
    <w:basedOn w:val="Style_1_ch"/>
    <w:link w:val="Style_19"/>
    <w:rPr>
      <w:sz w:val="26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basedOn w:val="Style_1"/>
    <w:link w:val="Style_23_ch"/>
    <w:uiPriority w:val="9"/>
    <w:qFormat/>
    <w:pPr>
      <w:ind w:firstLine="0" w:left="822"/>
      <w:jc w:val="both"/>
      <w:outlineLvl w:val="1"/>
    </w:pPr>
    <w:rPr>
      <w:b w:val="1"/>
      <w:sz w:val="26"/>
    </w:rPr>
  </w:style>
  <w:style w:styleId="Style_23_ch" w:type="character">
    <w:name w:val="heading 2"/>
    <w:basedOn w:val="Style_1_ch"/>
    <w:link w:val="Style_23"/>
    <w:rPr>
      <w:b w:val="1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2025-11-23T16:26:02Z</dcterms:modified>
</cp:coreProperties>
</file>