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240"/>
        <w:ind w:firstLine="0" w:left="993"/>
        <w:jc w:val="left"/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</w:pPr>
      <w:bookmarkStart w:id="1" w:name="_Hlk96089082"/>
      <w:bookmarkEnd w:id="1"/>
      <w:r>
        <w:rPr>
          <w:sz w:val="24"/>
        </w:rPr>
        <w:t xml:space="preserve">               </w:t>
      </w:r>
      <w:r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  <w:t>Справка об итогах работы школы</w:t>
      </w:r>
    </w:p>
    <w:p w14:paraId="02000000">
      <w:pPr>
        <w:spacing w:before="240"/>
        <w:ind w:firstLine="0" w:left="993"/>
        <w:jc w:val="left"/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</w:pPr>
      <w:r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  <w:t xml:space="preserve"> по направлению «Функциональная грамотность»</w:t>
      </w:r>
    </w:p>
    <w:p w14:paraId="03000000">
      <w:pPr>
        <w:spacing w:after="120" w:before="120"/>
        <w:ind w:firstLine="0" w:left="0" w:right="0"/>
        <w:jc w:val="left"/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 xml:space="preserve"> ноябрь 2025 года</w:t>
      </w:r>
    </w:p>
    <w:p w14:paraId="04000000">
      <w:pPr>
        <w:spacing w:after="120" w:before="120"/>
        <w:ind w:firstLine="0" w:left="0" w:right="0"/>
        <w:jc w:val="left"/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В ноябре 2025 года в школе было проведено онлайн‑тестирование учащихся</w:t>
      </w: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 </w:t>
      </w: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3–11‑х классов</w:t>
      </w: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 </w:t>
      </w: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на платформе МЦКО по направлениям функциональной грамотности. Цель мероприятия — оценка уровня сформированности ключевых компетентностей учащихся в соответствии с требованиями ФГОС.</w:t>
      </w:r>
    </w:p>
    <w:p w14:paraId="05000000">
      <w:pPr>
        <w:spacing w:after="60" w:before="30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Общие параметры проведения</w:t>
      </w:r>
    </w:p>
    <w:p w14:paraId="06000000">
      <w:pPr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Формат: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онлайн‑тестирование на сайте МЦКО.</w:t>
      </w:r>
    </w:p>
    <w:p w14:paraId="07000000">
      <w:pPr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Участники: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учащиеся 3–11‑х классов.</w:t>
      </w:r>
    </w:p>
    <w:p w14:paraId="08000000">
      <w:pPr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Период: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ноябрь 2025 года.</w:t>
      </w:r>
    </w:p>
    <w:p w14:paraId="09000000">
      <w:pPr>
        <w:numPr>
          <w:ilvl w:val="0"/>
          <w:numId w:val="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Направления:</w:t>
      </w:r>
    </w:p>
    <w:p w14:paraId="0A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читательская грамотность;</w:t>
      </w:r>
    </w:p>
    <w:p w14:paraId="0B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математическая грамотность;</w:t>
      </w:r>
    </w:p>
    <w:p w14:paraId="0C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естественнонаучная грамотность;</w:t>
      </w:r>
    </w:p>
    <w:p w14:paraId="0D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финансовая грамотность;</w:t>
      </w:r>
    </w:p>
    <w:p w14:paraId="0E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глобальные компетенции;</w:t>
      </w:r>
    </w:p>
    <w:p w14:paraId="0F000000">
      <w:pPr>
        <w:numPr>
          <w:ilvl w:val="1"/>
          <w:numId w:val="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креативное мышление.</w:t>
      </w:r>
    </w:p>
    <w:p w14:paraId="10000000">
      <w:pPr>
        <w:spacing w:after="60" w:before="30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Ответственные педагоги по направлениям</w:t>
      </w:r>
    </w:p>
    <w:p w14:paraId="11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Читательская грамотность</w:t>
      </w:r>
    </w:p>
    <w:p w14:paraId="12000000">
      <w:pPr>
        <w:numPr>
          <w:ilvl w:val="1"/>
          <w:numId w:val="4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Рязанова А. С. (3–4 классы);</w:t>
      </w:r>
    </w:p>
    <w:p w14:paraId="13000000">
      <w:pPr>
        <w:numPr>
          <w:ilvl w:val="1"/>
          <w:numId w:val="4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Ильясова А.К. (5–11 классы).</w:t>
      </w:r>
    </w:p>
    <w:p w14:paraId="14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Математическая грамотность</w:t>
      </w:r>
    </w:p>
    <w:p w14:paraId="15000000">
      <w:pPr>
        <w:numPr>
          <w:ilvl w:val="1"/>
          <w:numId w:val="5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Мальнева Е. В. (3–4 классы);</w:t>
      </w:r>
    </w:p>
    <w:p w14:paraId="16000000">
      <w:pPr>
        <w:numPr>
          <w:ilvl w:val="1"/>
          <w:numId w:val="5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Молчанова Т.Ю. (5–11 классы).</w:t>
      </w:r>
    </w:p>
    <w:p w14:paraId="17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Естественнонаучная грамотность</w:t>
      </w:r>
    </w:p>
    <w:p w14:paraId="18000000">
      <w:pPr>
        <w:numPr>
          <w:ilvl w:val="1"/>
          <w:numId w:val="6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Брыжова С. В. (3–4 классы);</w:t>
      </w:r>
    </w:p>
    <w:p w14:paraId="19000000">
      <w:pPr>
        <w:numPr>
          <w:ilvl w:val="1"/>
          <w:numId w:val="6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Черныш Е.В.. (5–11 классы).</w:t>
      </w:r>
    </w:p>
    <w:p w14:paraId="1A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Финансовая грамотность</w:t>
      </w:r>
    </w:p>
    <w:p w14:paraId="1B000000">
      <w:pPr>
        <w:numPr>
          <w:ilvl w:val="1"/>
          <w:numId w:val="7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Зекирьяева Г. Ш. (3-4 классы);</w:t>
      </w:r>
    </w:p>
    <w:p w14:paraId="1C000000">
      <w:pPr>
        <w:numPr>
          <w:ilvl w:val="1"/>
          <w:numId w:val="7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Халилова Э.А.. (5–11 классы).</w:t>
      </w:r>
    </w:p>
    <w:p w14:paraId="1D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Глобальные компетенции</w:t>
      </w:r>
    </w:p>
    <w:p w14:paraId="1E000000">
      <w:pPr>
        <w:numPr>
          <w:ilvl w:val="1"/>
          <w:numId w:val="8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Федюкина А. А. (3–4 классы);</w:t>
      </w:r>
    </w:p>
    <w:p w14:paraId="1F000000">
      <w:pPr>
        <w:numPr>
          <w:ilvl w:val="1"/>
          <w:numId w:val="8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Измайлов Э. И. (5–11 классы).</w:t>
      </w:r>
    </w:p>
    <w:p w14:paraId="20000000">
      <w:pPr>
        <w:numPr>
          <w:ilvl w:val="0"/>
          <w:numId w:val="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Креативное мышление</w:t>
      </w:r>
    </w:p>
    <w:p w14:paraId="21000000">
      <w:pPr>
        <w:numPr>
          <w:ilvl w:val="1"/>
          <w:numId w:val="9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Клиблеева Л.С. . (3–4 классы);</w:t>
      </w:r>
    </w:p>
    <w:p w14:paraId="22000000">
      <w:pPr>
        <w:numPr>
          <w:ilvl w:val="1"/>
          <w:numId w:val="9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Урбаневич В.А. (5–11 классы).</w:t>
      </w:r>
    </w:p>
    <w:p w14:paraId="23000000">
      <w:pPr>
        <w:spacing w:after="60" w:before="30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Основные результаты</w:t>
      </w:r>
    </w:p>
    <w:p w14:paraId="24000000">
      <w:pPr>
        <w:spacing w:after="120" w:before="120"/>
        <w:ind w:firstLine="0" w:left="0" w:right="0"/>
        <w:jc w:val="left"/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По итогам тестирования проведён первичный анализ данных по каждому направлению. Ниже — краткие выводы по ступеням обучения.</w:t>
      </w:r>
    </w:p>
    <w:p w14:paraId="25000000">
      <w:pPr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Начальное звено (3–4 классы):</w:t>
      </w:r>
    </w:p>
    <w:p w14:paraId="26000000">
      <w:pPr>
        <w:numPr>
          <w:ilvl w:val="1"/>
          <w:numId w:val="1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Наивысшие показатели — в области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читательской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(средний уровень освоения — 78 %).</w:t>
      </w:r>
    </w:p>
    <w:p w14:paraId="27000000">
      <w:pPr>
        <w:numPr>
          <w:ilvl w:val="1"/>
          <w:numId w:val="1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Заметный рост по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математической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 3–4 классов (на 12 % относительно стартовой диагностики).</w:t>
      </w:r>
    </w:p>
    <w:p w14:paraId="28000000">
      <w:pPr>
        <w:numPr>
          <w:ilvl w:val="1"/>
          <w:numId w:val="11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Сложности выявлены 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естественнонаучной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: 34 % учащихся показали низкий уровень понимания базовых понятий.</w:t>
      </w:r>
    </w:p>
    <w:p w14:paraId="29000000">
      <w:pPr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Основное звено (5–9 классы):</w:t>
      </w:r>
    </w:p>
    <w:p w14:paraId="2A000000">
      <w:pPr>
        <w:numPr>
          <w:ilvl w:val="1"/>
          <w:numId w:val="1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Стабильно высокие результаты по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математической и читательской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(средние показатели — 72–75 %).</w:t>
      </w:r>
    </w:p>
    <w:p w14:paraId="2B000000">
      <w:pPr>
        <w:numPr>
          <w:ilvl w:val="1"/>
          <w:numId w:val="1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финансовой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41 % учащихся испытывают затруднения с задачами на бюджетирование и риски.</w:t>
      </w:r>
    </w:p>
    <w:p w14:paraId="2C000000">
      <w:pPr>
        <w:numPr>
          <w:ilvl w:val="1"/>
          <w:numId w:val="12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глобальных компетенциях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отмечен прогресс в умениях анализировать межкультурные ситуации (рост на 9 %).</w:t>
      </w:r>
    </w:p>
    <w:p w14:paraId="2D000000">
      <w:pPr>
        <w:numPr>
          <w:ilvl w:val="0"/>
          <w:numId w:val="10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Старшее звено (10–11 классы):</w:t>
      </w:r>
    </w:p>
    <w:p w14:paraId="2E000000">
      <w:pPr>
        <w:numPr>
          <w:ilvl w:val="1"/>
          <w:numId w:val="1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Лучшие результаты — 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креативном мышлении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(68 % выполнили задания на генерацию идей выше базового уровня).</w:t>
      </w:r>
    </w:p>
    <w:p w14:paraId="2F000000">
      <w:pPr>
        <w:numPr>
          <w:ilvl w:val="1"/>
          <w:numId w:val="1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естественнонаучной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29 % не справились с задачами на интерпретацию данных экспериментов.</w:t>
      </w:r>
    </w:p>
    <w:p w14:paraId="30000000">
      <w:pPr>
        <w:numPr>
          <w:ilvl w:val="1"/>
          <w:numId w:val="13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финансовой грамотности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слабые показатели по темам инвестиций и кредитования (средний балл — 54 %).</w:t>
      </w:r>
    </w:p>
    <w:p w14:paraId="31000000">
      <w:pPr>
        <w:spacing w:after="60" w:before="30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Выводы и рекомендации</w:t>
      </w:r>
    </w:p>
    <w:p w14:paraId="32000000">
      <w:pPr>
        <w:numPr>
          <w:ilvl w:val="0"/>
          <w:numId w:val="14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Усиление методической работы:</w:t>
      </w:r>
    </w:p>
    <w:p w14:paraId="33000000">
      <w:pPr>
        <w:numPr>
          <w:ilvl w:val="1"/>
          <w:numId w:val="15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Организовать семинары для учителей по методам формирования естественнонаучной и финансовой грамотности.</w:t>
      </w:r>
    </w:p>
    <w:p w14:paraId="34000000">
      <w:pPr>
        <w:numPr>
          <w:ilvl w:val="1"/>
          <w:numId w:val="15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Разработать банк заданий для 5–9 классов по темам, которые вызвали затруднения.</w:t>
      </w:r>
    </w:p>
    <w:p w14:paraId="35000000">
      <w:pPr>
        <w:numPr>
          <w:ilvl w:val="0"/>
          <w:numId w:val="14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Индивидуальная работа с учащимися:</w:t>
      </w:r>
    </w:p>
    <w:p w14:paraId="36000000">
      <w:pPr>
        <w:numPr>
          <w:ilvl w:val="1"/>
          <w:numId w:val="16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Провести коррекционные занятия для групп с низким уровнем по естественнонаучной грамотности (3–4 и 8–9 классы).</w:t>
      </w:r>
    </w:p>
    <w:p w14:paraId="37000000">
      <w:pPr>
        <w:numPr>
          <w:ilvl w:val="1"/>
          <w:numId w:val="16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Включить в план внеурочной деятельности тренинги по финансовому планированию для 9–11 классов.</w:t>
      </w:r>
    </w:p>
    <w:p w14:paraId="38000000">
      <w:pPr>
        <w:numPr>
          <w:ilvl w:val="0"/>
          <w:numId w:val="14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Мониторинг динамики:</w:t>
      </w:r>
    </w:p>
    <w:p w14:paraId="39000000">
      <w:pPr>
        <w:numPr>
          <w:ilvl w:val="1"/>
          <w:numId w:val="17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Запланировать повторное тестирование по «проблемным» направлениям в феврале 2026 года.</w:t>
      </w:r>
    </w:p>
    <w:p w14:paraId="3A000000">
      <w:pPr>
        <w:numPr>
          <w:ilvl w:val="1"/>
          <w:numId w:val="17"/>
        </w:numPr>
        <w:spacing w:after="120" w:before="12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Внедрить мини‑диагностики раз в четверть для отслеживания прогресса.</w:t>
      </w:r>
    </w:p>
    <w:p w14:paraId="3B000000">
      <w:pPr>
        <w:spacing w:after="120" w:before="120"/>
        <w:ind w:firstLine="0" w:left="0" w:right="0"/>
        <w:jc w:val="left"/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Ответственные за реализацию рекомендаций:</w:t>
      </w: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 </w:t>
      </w:r>
      <w:r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  <w:t>заместитель директора по УВР Филина Л.Н., руководители МО, классные руководители.</w:t>
      </w:r>
    </w:p>
    <w:p w14:paraId="3C000000">
      <w:pPr>
        <w:spacing w:after="120" w:before="120"/>
        <w:ind w:firstLine="0" w:left="0" w:right="0"/>
        <w:jc w:val="left"/>
        <w:rPr>
          <w:rFonts w:ascii="Times New Roman" w:hAnsi="Times New Roman"/>
          <w:b w:val="0"/>
          <w:caps w:val="0"/>
          <w:color w:val="000000"/>
          <w:spacing w:val="0"/>
          <w:highlight w:val="white"/>
        </w:rPr>
      </w:pPr>
    </w:p>
    <w:p w14:paraId="3D000000">
      <w:pPr>
        <w:spacing w:after="0" w:before="12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highlight w:val="white"/>
        </w:rPr>
        <w:t xml:space="preserve">30.11.2025                                            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highlight w:val="white"/>
        </w:rPr>
        <w:t xml:space="preserve">руководитель мо 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highlight w:val="white"/>
        </w:rPr>
        <w:t xml:space="preserve">  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highlight w:val="white"/>
        </w:rPr>
        <w:t xml:space="preserve"> </w:t>
      </w:r>
      <w:r>
        <w:rPr>
          <w:rFonts w:ascii="Times New Roman" w:hAnsi="Times New Roman"/>
          <w:b w:val="1"/>
          <w:caps w:val="0"/>
          <w:color w:val="000000"/>
          <w:spacing w:val="0"/>
          <w:highlight w:val="white"/>
        </w:rPr>
        <w:t>Финогенова И.Ю.</w:t>
      </w:r>
      <w:r>
        <w:rPr>
          <w:sz w:val="24"/>
        </w:rPr>
        <w:t xml:space="preserve">                </w:t>
      </w:r>
    </w:p>
    <w:sectPr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ody Text"/>
    <w:basedOn w:val="Style_1"/>
    <w:link w:val="Style_19_ch"/>
    <w:pPr>
      <w:ind w:firstLine="709" w:left="822"/>
      <w:jc w:val="both"/>
    </w:pPr>
    <w:rPr>
      <w:sz w:val="26"/>
    </w:rPr>
  </w:style>
  <w:style w:styleId="Style_19_ch" w:type="character">
    <w:name w:val="Body Text"/>
    <w:basedOn w:val="Style_1_ch"/>
    <w:link w:val="Style_19"/>
    <w:rPr>
      <w:sz w:val="26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 w:firstLine="0" w:left="822"/>
      <w:jc w:val="both"/>
      <w:outlineLvl w:val="1"/>
    </w:pPr>
    <w:rPr>
      <w:b w:val="1"/>
      <w:sz w:val="26"/>
    </w:rPr>
  </w:style>
  <w:style w:styleId="Style_23_ch" w:type="character">
    <w:name w:val="heading 2"/>
    <w:basedOn w:val="Style_1_ch"/>
    <w:link w:val="Style_23"/>
    <w:rPr>
      <w:b w:val="1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2025-11-23T16:26:02Z</dcterms:modified>
</cp:coreProperties>
</file>