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872"/>
      </w:tblGrid>
      <w:tr w:rsidR="00E95553" w:rsidRPr="009921BA" w:rsidTr="009921BA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E95553"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9921BA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9921BA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А.С.Ханас</w:t>
            </w:r>
            <w:proofErr w:type="spellEnd"/>
            <w:r w:rsidR="00E95553"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57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66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 от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6E3E" w:rsidRPr="00576E3E" w:rsidRDefault="00576E3E" w:rsidP="00576E3E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576E3E" w:rsidRPr="00576E3E" w:rsidRDefault="00576E3E" w:rsidP="00576E3E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 xml:space="preserve">о разрешительной системе доступа </w:t>
      </w:r>
      <w:proofErr w:type="gramStart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>в</w:t>
      </w:r>
      <w:proofErr w:type="gramEnd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576E3E" w:rsidRPr="00576E3E" w:rsidRDefault="00576E3E" w:rsidP="00576E3E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 xml:space="preserve">информационных </w:t>
      </w:r>
      <w:proofErr w:type="gramStart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>системах</w:t>
      </w:r>
      <w:proofErr w:type="gramEnd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 xml:space="preserve"> персональных данных </w:t>
      </w:r>
    </w:p>
    <w:p w:rsidR="00576E3E" w:rsidRPr="00576E3E" w:rsidRDefault="00576E3E" w:rsidP="00576E3E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b/>
          <w:sz w:val="24"/>
          <w:szCs w:val="24"/>
          <w:lang w:val="ru-RU" w:eastAsia="ru-RU"/>
        </w:rPr>
        <w:t xml:space="preserve"> детский сад» 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Термины и определения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Дискреционный метод управления доступом –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метод управления доступом,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ассоциированных с ними типов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 к информации - ознакомление с информацией, ее обработка, в частности копирование, модификация или уничтожение информации.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Матрица доступа – таблица, отображающая правила разграничения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доступа – единица информационного ресурса автоматизированной системы, доступ к которой регламентируется правилами разграничения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разграничения доступа – совокупность правил, регламентирующих права доступа субъектов доступа к объектам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Ролевой метод управления доступом – метод управления доступом, предусматривающий управление доступом субъектов доступа к объектам доступа на основе ролей субъектов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Субъект доступа – лицо или процесс, действия которого регламентируются правилами разграничения доступа.</w:t>
      </w:r>
    </w:p>
    <w:p w:rsidR="00576E3E" w:rsidRPr="00576E3E" w:rsidRDefault="00576E3E" w:rsidP="00576E3E">
      <w:pPr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Типы доступа – операции, разрешенные к выполнению субъектом доступа при доступе к объектам доступа.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Общие положения</w:t>
      </w:r>
    </w:p>
    <w:p w:rsidR="00576E3E" w:rsidRPr="00576E3E" w:rsidRDefault="00576E3E" w:rsidP="00576E3E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Настоящее Положение о разрешительной системе доступа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в информационных системах персональных данных 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 (далее – Положение),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разработано в соответствии с законодательством Российской Федерации о персональных данных (далее –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 нормативно-методическими документами федеральных органов исполнительной власти по вопросам безопасности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их обработке в информационных системах персональных данных (далее –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576E3E" w:rsidRPr="00576E3E" w:rsidRDefault="00576E3E" w:rsidP="00576E3E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Настоящее Положение определяет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методы управления доступом, типы доступа и правила разграничения доступа субъектов доступа к объектам доступа в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.</w:t>
      </w:r>
      <w:bookmarkStart w:id="0" w:name="e515BDFA3"/>
      <w:bookmarkEnd w:id="0"/>
    </w:p>
    <w:p w:rsidR="00576E3E" w:rsidRPr="00576E3E" w:rsidRDefault="00576E3E" w:rsidP="00576E3E">
      <w:pPr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Положение обязательно для исполнения всеми работниками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 (далее – Учреждение)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непосредственно осуществляющими защиту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Субъекты и объекты доступа</w:t>
      </w:r>
    </w:p>
    <w:p w:rsidR="00576E3E" w:rsidRPr="00576E3E" w:rsidRDefault="00576E3E" w:rsidP="00576E3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К 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субъектам доступа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, относятся работники, выполняющие свои должностные обязанности (функции) с использованием информации, информационных технологий и технических средств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в соответствии с должностными инструкциями и которым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присвоены учетные записи.</w:t>
      </w:r>
    </w:p>
    <w:p w:rsidR="00576E3E" w:rsidRPr="00576E3E" w:rsidRDefault="00576E3E" w:rsidP="00576E3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К объектам доступа в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, относятся: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средства вычислительной техники;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средства связи и передачи данных;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средства обеспечения бесперебойной работы средств вычислительной техники и средств связи и передачи данных;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основные конфигурационные файлы операционных систем, средств связи и передачи данных и средств защиты информации (далее – СЗИ);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средства настройки и управления операционной системой, средств связи и передачи данных и СЗИ;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прикладное программное обеспечение;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периферийные устройства;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машинные носители информации;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обрабатываемые, хранимые данные.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240" w:afterAutospacing="0" w:line="276" w:lineRule="auto"/>
        <w:ind w:left="0" w:firstLine="0"/>
        <w:jc w:val="center"/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</w:pP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Методы</w:t>
      </w:r>
      <w:r w:rsidRPr="00576E3E"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  <w:t xml:space="preserve"> разграничения доступа</w:t>
      </w:r>
    </w:p>
    <w:p w:rsidR="00576E3E" w:rsidRPr="00576E3E" w:rsidRDefault="00576E3E" w:rsidP="00576E3E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Методы разграничения доступа к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реализуются в соответствии с особенностями функционирования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и включают комбинацию следующих методов: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ролевой метод управления доступом;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709" w:firstLine="0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дискреционный метод управления доступом.</w:t>
      </w:r>
    </w:p>
    <w:p w:rsidR="00576E3E" w:rsidRPr="00576E3E" w:rsidRDefault="00576E3E" w:rsidP="00576E3E">
      <w:pPr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Реализация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ролевого метода управления доступом в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представлена в таблице 1.</w:t>
      </w:r>
    </w:p>
    <w:p w:rsidR="00576E3E" w:rsidRPr="00576E3E" w:rsidRDefault="00576E3E" w:rsidP="00576E3E">
      <w:pPr>
        <w:tabs>
          <w:tab w:val="left" w:pos="180"/>
          <w:tab w:val="left" w:pos="1134"/>
        </w:tabs>
        <w:spacing w:before="0" w:beforeAutospacing="0" w:after="12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723"/>
        <w:gridCol w:w="6791"/>
      </w:tblGrid>
      <w:tr w:rsidR="00576E3E" w:rsidRPr="00576E3E" w:rsidTr="00254D6C">
        <w:trPr>
          <w:cantSplit/>
          <w:trHeight w:val="397"/>
          <w:tblHeader/>
          <w:jc w:val="center"/>
        </w:trPr>
        <w:tc>
          <w:tcPr>
            <w:tcW w:w="228" w:type="pct"/>
            <w:shd w:val="clear" w:color="auto" w:fill="F2F2F2"/>
            <w:vAlign w:val="center"/>
          </w:tcPr>
          <w:p w:rsidR="00576E3E" w:rsidRPr="00576E3E" w:rsidRDefault="00576E3E" w:rsidP="00576E3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 xml:space="preserve">№ </w:t>
            </w:r>
            <w:proofErr w:type="gramStart"/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</w:t>
            </w:r>
            <w:proofErr w:type="gramEnd"/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/п</w:t>
            </w:r>
          </w:p>
        </w:tc>
        <w:tc>
          <w:tcPr>
            <w:tcW w:w="1369" w:type="pct"/>
            <w:shd w:val="clear" w:color="auto" w:fill="F2F2F2"/>
            <w:vAlign w:val="center"/>
          </w:tcPr>
          <w:p w:rsidR="00576E3E" w:rsidRPr="00576E3E" w:rsidRDefault="00576E3E" w:rsidP="00576E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commentRangeStart w:id="1"/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Роль субъекта доступа</w:t>
            </w:r>
            <w:commentRangeEnd w:id="1"/>
            <w:r w:rsidRPr="00576E3E">
              <w:rPr>
                <w:rFonts w:ascii="Times New Roman" w:eastAsia="Batang" w:hAnsi="Times New Roman" w:cs="Times New Roman"/>
                <w:sz w:val="16"/>
                <w:szCs w:val="16"/>
                <w:lang w:val="ru-RU" w:eastAsia="ru-RU"/>
              </w:rPr>
              <w:commentReference w:id="1"/>
            </w:r>
          </w:p>
        </w:tc>
        <w:tc>
          <w:tcPr>
            <w:tcW w:w="3403" w:type="pct"/>
            <w:shd w:val="clear" w:color="auto" w:fill="F2F2F2"/>
            <w:vAlign w:val="center"/>
          </w:tcPr>
          <w:p w:rsidR="00576E3E" w:rsidRPr="00576E3E" w:rsidRDefault="00576E3E" w:rsidP="00576E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Уровень доступа к объектам доступа</w:t>
            </w:r>
          </w:p>
        </w:tc>
      </w:tr>
      <w:tr w:rsidR="00576E3E" w:rsidRPr="00576E3E" w:rsidTr="00254D6C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576E3E" w:rsidRPr="00576E3E" w:rsidRDefault="00576E3E" w:rsidP="00576E3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576E3E" w:rsidRPr="00576E3E" w:rsidRDefault="00576E3E" w:rsidP="00576E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Администратор безопасности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обладает полной информацией о конфигурации системы защиты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(структуре системы защиты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, составе, местах установки и параметров настройки СЗИ);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обладает полной информацией о конфигурации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(структуре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, состава, мест установки и параметров программного обеспечения и технических средств);</w:t>
            </w:r>
            <w:proofErr w:type="gramEnd"/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обладает правами настройки и конфигурирования СЗИ;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обладает правами настройки и конфигурирования средств связи передачи данных;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обладает правами настройки и конфигурирования операционных систем и прикладного программного обеспечения;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обладает правами внесения изменений в программное обеспечение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стадии ее разработки, внедрения и сопровождения.</w:t>
            </w:r>
          </w:p>
        </w:tc>
      </w:tr>
      <w:tr w:rsidR="00576E3E" w:rsidRPr="00576E3E" w:rsidTr="00254D6C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576E3E" w:rsidRPr="00576E3E" w:rsidRDefault="00576E3E" w:rsidP="00576E3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576E3E" w:rsidRPr="00576E3E" w:rsidRDefault="00576E3E" w:rsidP="00576E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Администратор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обладает полной информацией о конфигурации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(структуре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составе, местах установки и параметров </w:t>
            </w:r>
            <w:proofErr w:type="gram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программного</w:t>
            </w:r>
            <w:proofErr w:type="gram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обеспечения и технических средств);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обладает правами настройки и конфигурирования средств связи передачи данных;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обладает правами настройки и конфигурирования операционных систем и прикладного программного обеспечения;</w:t>
            </w:r>
          </w:p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обладает правами внесения изменений в программное обеспечение </w:t>
            </w:r>
            <w:proofErr w:type="spellStart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стадии ее разработки, внедрения и сопровождения.</w:t>
            </w:r>
          </w:p>
        </w:tc>
      </w:tr>
      <w:tr w:rsidR="00576E3E" w:rsidRPr="00576E3E" w:rsidTr="00254D6C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576E3E" w:rsidRPr="00576E3E" w:rsidRDefault="00576E3E" w:rsidP="00576E3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576E3E" w:rsidRPr="00576E3E" w:rsidRDefault="00576E3E" w:rsidP="00576E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Пользователь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576E3E" w:rsidRPr="00576E3E" w:rsidRDefault="00576E3E" w:rsidP="00576E3E">
            <w:pPr>
              <w:numPr>
                <w:ilvl w:val="0"/>
                <w:numId w:val="2"/>
              </w:numPr>
              <w:tabs>
                <w:tab w:val="left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576E3E">
              <w:rPr>
                <w:rFonts w:ascii="Times New Roman" w:eastAsia="Batang" w:hAnsi="Times New Roman" w:cs="Times New Roman"/>
                <w:sz w:val="20"/>
                <w:szCs w:val="24"/>
                <w:lang w:val="ru-RU" w:eastAsia="ru-RU"/>
              </w:rPr>
              <w:t xml:space="preserve">обладает всеми необходимыми атрибутами и правами, обеспечивающими доступ к </w:t>
            </w:r>
            <w:proofErr w:type="spellStart"/>
            <w:r w:rsidRPr="00576E3E">
              <w:rPr>
                <w:rFonts w:ascii="Times New Roman" w:eastAsia="Batang" w:hAnsi="Times New Roman" w:cs="Times New Roman"/>
                <w:sz w:val="20"/>
                <w:szCs w:val="24"/>
                <w:lang w:val="ru-RU" w:eastAsia="ru-RU"/>
              </w:rPr>
              <w:t>ИСПДн</w:t>
            </w:r>
            <w:proofErr w:type="spellEnd"/>
            <w:r w:rsidRPr="00576E3E">
              <w:rPr>
                <w:rFonts w:ascii="Times New Roman" w:eastAsia="Batang" w:hAnsi="Times New Roman" w:cs="Times New Roman"/>
                <w:sz w:val="20"/>
                <w:szCs w:val="24"/>
                <w:lang w:val="ru-RU" w:eastAsia="ru-RU"/>
              </w:rPr>
              <w:t>.</w:t>
            </w:r>
          </w:p>
        </w:tc>
      </w:tr>
    </w:tbl>
    <w:p w:rsidR="00576E3E" w:rsidRPr="00576E3E" w:rsidRDefault="00576E3E" w:rsidP="00576E3E">
      <w:pPr>
        <w:numPr>
          <w:ilvl w:val="0"/>
          <w:numId w:val="6"/>
        </w:numPr>
        <w:tabs>
          <w:tab w:val="left" w:pos="1134"/>
        </w:tabs>
        <w:spacing w:before="24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Реализация дискреционного метода управления доступом достигается путем назначения прав доступа для каждой пары «Роль субъекта доступа» – «Объект доступа» явного и недвусмысленного перечисления допустимых типов доступа в соответствии с Матрицей доступа работников к ресурсам информационных систем персональных данных (далее – Матрица доступа), форма которой установлена в Приложении к настоящему Положению.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276" w:lineRule="auto"/>
        <w:ind w:left="0" w:firstLine="0"/>
        <w:jc w:val="center"/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</w:pP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Типы</w:t>
      </w:r>
      <w:r w:rsidRPr="00576E3E"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  <w:t xml:space="preserve"> доступа</w:t>
      </w:r>
    </w:p>
    <w:p w:rsidR="00576E3E" w:rsidRPr="00576E3E" w:rsidRDefault="00576E3E" w:rsidP="00576E3E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ИСПДн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определены следующие типы доступа субъектов доступа к объектам доступа: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чтение (R) – субъекту доступа разрешено просматривать содержимое объекта доступа;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запись (W) – субъекту доступа разрешено просматривать, записывать и создавать новый объект доступа;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выполнение (E) – субъекту доступа разрешено запускать/выполнять объект доступа;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печать (P) – субъекту доступа разрешена печать;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сканирование (S) – субъекту доступа разрешено сканирование;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полный (F) – субъект доступа имеет полный доступ к объектам доступа.</w:t>
      </w:r>
    </w:p>
    <w:p w:rsidR="00576E3E" w:rsidRPr="00576E3E" w:rsidRDefault="00576E3E" w:rsidP="00576E3E">
      <w:pPr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Разрешенные к выполнению, субъектами доступа при доступе к объектам доступа в </w:t>
      </w:r>
      <w:proofErr w:type="spellStart"/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ИСПДн</w:t>
      </w:r>
      <w:proofErr w:type="spellEnd"/>
      <w:r w:rsidRPr="00576E3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типы доступа, определены в Матрице доступа.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276" w:lineRule="auto"/>
        <w:ind w:left="0" w:firstLine="0"/>
        <w:jc w:val="center"/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  <w:t xml:space="preserve">Правила </w:t>
      </w:r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разграничения</w:t>
      </w:r>
      <w:r w:rsidRPr="00576E3E"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  <w:t xml:space="preserve"> доступа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правила разграничения доступа реализованы совокупностью правил, регламентирующих порядок и условия доступа субъекта к объектам доступа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разделение обязанностей и назначение минимально необходимых прав пользователям и администраторам;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управление (заведение, активация, блокирование и уничтожение) учетными записями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управление (фильтрация, маршрутизация, контроль соединений, однонаправленная передача и иные способы управления) информационными потоками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ограничение неуспешных попыток доступа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разрешение (запрет) действий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, разрешенных до идентификац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ии и ау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тентификации;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реализация защищенного удаленного доступа субъектов доступа к объектам доступа через внешние информационно-телекоммуникационные сети;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контроль использования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технологий беспроводного доступа;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контроль использования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мобильных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технических средств;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управление взаимодействием с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организаций (внешние информационные системы).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Права и обязанности пользователей зафиксированы в «Инструкции </w:t>
      </w:r>
      <w:r w:rsidRPr="00576E3E">
        <w:rPr>
          <w:rFonts w:ascii="Times New Roman" w:eastAsia="Batang" w:hAnsi="Times New Roman" w:cs="Times New Roman"/>
          <w:sz w:val="24"/>
          <w:szCs w:val="28"/>
          <w:lang w:val="ru-RU" w:eastAsia="ru-RU"/>
        </w:rPr>
        <w:t xml:space="preserve">пользователя информационных систем персональных данных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Права и обязанности администратора зафиксированы в «Инструкции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администратора информационных систем персональных данных 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Права и обязанности администратора безопасности зафиксированы в «Инструкции ответственного за обеспечение безопасности персональных данных в информационных системах персональных данных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lastRenderedPageBreak/>
        <w:t xml:space="preserve">Управление (заведение, активацию, блокирование и уничтожение) учетными записями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осуществляет администратор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Администратор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определяет и назначает права доступа субъектов к объектам доступа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в соответствии с исполняемой ролью субъекта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и Матрицей доступа.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реализованы следующие функции управления учетными записями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определение типа учетной записи (пользователь, администратор, системная);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объединение учетных записей в группы (пользователи, администраторы); 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верификация пользователя при заведении учетной записи пользователя; 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заведение, активация, блокирование и уничтожение учетных записей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пересмотр и корректировка учетных записей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порядок заведения и контроля использования временных учетных записей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оповещение администратора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осуществляющего управление учетными записями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об изменении сведений о пользователях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их ролях, обязанностях, полномочиях, ограничениях; 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уничтожение временных учетных записей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предоставленных для однократного (ограниченного по времени) выполнения задач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предоставление пользователям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прав доступа к объектам доступа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основываясь на задачах, решаемых пользователями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Временная учетная запись может быть заведена для пользователя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на ограниченный срок для выполнения задач, требующих расширенных полномочий, или для проведения настройки, тестирования, для организации гостевого доступа (посетителям, сотрудникам сторонних организаций, стажерам и иным пользователям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с временным доступом к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).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осуществляется автоматическое блокирование временных учетных записей Пользователей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по окончании установленного периода времени для их использования.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При передаче информации между устройствами, сегментами в рамках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, осуществляется управление информационными потоками, включающее: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фильтрацию информационных потоков в соответствии с правилами управления потоками;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разрешение передачи информации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только по установленному маршруту;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изменение (перенаправление) маршрута передачи информации только в установленных случаях;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запись во временное хранилище информации для анализа и принятия решения о возможности ее дальнейшей передачи в установленных случаях.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Управление информационными потоками обеспечивает разрешенный маршрут прохождения информации между пользователями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устройствами, сегментами в рамках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а также при взаимодействии с сетью Интернет (или другими информационно-телекоммуникационными сетями международного информационного обмена) на основе правил управления информационными потоками, включающих контроль конфигурации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, источника и получателя передаваемой информации, структуры передаваемой информации, характеристик информационных потоков и (или) канала связи (без анализа содержания информации).</w:t>
      </w:r>
      <w:proofErr w:type="gramEnd"/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Управление информационными потоками блокирует передачу защищаемой информации через сеть Интернет (или другие информационно-телекоммуникационные сети </w:t>
      </w: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lastRenderedPageBreak/>
        <w:t xml:space="preserve">международного информационного обмена) по незащищенным линиям связи, сетевые запросы и трафик, 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не санкционированно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исходящие из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и (или) входящие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установлено и зафиксировано в «Инструкции по парольной защите информации в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количество неуспешных попыток входа (доступа)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за установленный период времени;</w:t>
      </w:r>
    </w:p>
    <w:p w:rsidR="00576E3E" w:rsidRPr="00576E3E" w:rsidRDefault="00576E3E" w:rsidP="00576E3E">
      <w:pPr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1134" w:hanging="425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блокирование сеанса доступа пользователя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после установленного времени его бездействия (неактивности).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обеспечивается блокирование сеанса доступа пользователя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по запросу. 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Для заблокированного сеанса осуществляется блокирование любых действий по доступу к информации и устройствам отображения, кроме необходимых для разблокирования сеанса.</w:t>
      </w:r>
      <w:proofErr w:type="gramEnd"/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Администратору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и ответственному за обеспечение безопасности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разрешаются действия в обход установленных процедур идентификац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ии и ау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тентификации, необходимые только для восстановления функционирования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в случае сбоев в работе или выходе из строя отдельных технических средств (устройств).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Регламентация и контроль использования съемных машинных носителей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, описаны в «</w:t>
      </w:r>
      <w:r w:rsidRPr="00576E3E">
        <w:rPr>
          <w:rFonts w:ascii="Times New Roman" w:eastAsia="Batang" w:hAnsi="Times New Roman" w:cs="Times New Roman"/>
          <w:sz w:val="24"/>
          <w:szCs w:val="28"/>
          <w:lang w:val="ru-RU" w:eastAsia="ru-RU"/>
        </w:rPr>
        <w:t xml:space="preserve">Порядке обращения со съемными машинными носителями персональных данных в </w:t>
      </w:r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576E3E">
        <w:rPr>
          <w:rFonts w:ascii="Times New Roman" w:eastAsia="Batang" w:hAnsi="Times New Roman" w:cs="Times New Roman"/>
          <w:sz w:val="24"/>
          <w:szCs w:val="24"/>
          <w:lang w:val="ru-RU" w:eastAsia="ru-RU"/>
        </w:rPr>
        <w:t xml:space="preserve"> детский сад»</w:t>
      </w:r>
    </w:p>
    <w:p w:rsidR="00576E3E" w:rsidRPr="00576E3E" w:rsidRDefault="00576E3E" w:rsidP="00576E3E">
      <w:pPr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при взаимодействии с внешними информационными системами, взаимодействие с которыми необходимо для функционирования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, предоставление доступа к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осуществляется только авторизованным (уполномоченным) пользователям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в соответствии с Матрицей доступа.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240" w:afterAutospacing="0" w:line="276" w:lineRule="auto"/>
        <w:ind w:left="0" w:firstLine="0"/>
        <w:jc w:val="center"/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</w:pPr>
      <w:bookmarkStart w:id="2" w:name="_Toc391892757"/>
      <w:r w:rsidRPr="00576E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Ответственность</w:t>
      </w:r>
    </w:p>
    <w:p w:rsidR="00576E3E" w:rsidRPr="00576E3E" w:rsidRDefault="00576E3E" w:rsidP="00576E3E">
      <w:pPr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Все работники Учреждения, осуществляющие обработку и защиту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обязаны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ознакомиться с данным Положением под подпись.</w:t>
      </w:r>
    </w:p>
    <w:p w:rsidR="00576E3E" w:rsidRPr="00576E3E" w:rsidRDefault="00576E3E" w:rsidP="00576E3E">
      <w:pPr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Работники Учреждения несут персональную ответственность за выполнение требований настоящего Положения.</w:t>
      </w:r>
    </w:p>
    <w:p w:rsidR="00576E3E" w:rsidRPr="00576E3E" w:rsidRDefault="00576E3E" w:rsidP="00576E3E">
      <w:pPr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Контроль выполнения работниками Учреждения правил разграничения доступа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осуществляется </w:t>
      </w:r>
      <w:proofErr w:type="gram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Ответственным</w:t>
      </w:r>
      <w:proofErr w:type="gram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за обеспечение безопасности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 xml:space="preserve"> в </w:t>
      </w:r>
      <w:proofErr w:type="spellStart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ИСПДн</w:t>
      </w:r>
      <w:proofErr w:type="spellEnd"/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.</w:t>
      </w:r>
    </w:p>
    <w:p w:rsidR="00576E3E" w:rsidRPr="00576E3E" w:rsidRDefault="00576E3E" w:rsidP="00576E3E">
      <w:pPr>
        <w:numPr>
          <w:ilvl w:val="0"/>
          <w:numId w:val="1"/>
        </w:numPr>
        <w:tabs>
          <w:tab w:val="left" w:pos="426"/>
        </w:tabs>
        <w:spacing w:before="120" w:beforeAutospacing="0" w:after="240" w:afterAutospacing="0" w:line="276" w:lineRule="auto"/>
        <w:ind w:left="0" w:firstLine="0"/>
        <w:jc w:val="center"/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</w:pPr>
      <w:r w:rsidRPr="00576E3E">
        <w:rPr>
          <w:rFonts w:ascii="Times New Roman" w:eastAsia="Batang" w:hAnsi="Times New Roman" w:cs="Times New Roman"/>
          <w:b/>
          <w:sz w:val="24"/>
          <w:szCs w:val="20"/>
          <w:lang w:val="ru-RU" w:eastAsia="ru-RU"/>
        </w:rPr>
        <w:t>Срок действия и порядок внесения изменений</w:t>
      </w:r>
      <w:bookmarkEnd w:id="2"/>
    </w:p>
    <w:p w:rsidR="00576E3E" w:rsidRPr="00576E3E" w:rsidRDefault="00576E3E" w:rsidP="00576E3E">
      <w:pPr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Настоящее Положение вступает в силу с момента его утверждения и действует бессрочно.</w:t>
      </w:r>
    </w:p>
    <w:p w:rsidR="00576E3E" w:rsidRPr="00576E3E" w:rsidRDefault="00576E3E" w:rsidP="00576E3E">
      <w:pPr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Настоящее Положение подлежит пересмотру не реже одного раза в три года.</w:t>
      </w:r>
    </w:p>
    <w:p w:rsidR="001458A2" w:rsidRPr="009921BA" w:rsidRDefault="00576E3E" w:rsidP="00576E3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Изменения и дополнения в настоящее Положение вносятся приказом Директора </w:t>
      </w:r>
      <w:r w:rsidRPr="00576E3E">
        <w:rPr>
          <w:rFonts w:ascii="Times New Roman" w:eastAsia="Batang" w:hAnsi="Times New Roman" w:cs="Times New Roman"/>
          <w:sz w:val="24"/>
          <w:szCs w:val="20"/>
          <w:lang w:val="ru-RU" w:eastAsia="ru-RU"/>
        </w:rPr>
        <w:t>Учреждения</w:t>
      </w:r>
      <w:r w:rsidRPr="00576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3" w:name="_GoBack"/>
      <w:bookmarkEnd w:id="3"/>
    </w:p>
    <w:sectPr w:rsidR="001458A2" w:rsidRPr="009921BA" w:rsidSect="009921BA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Заводова Елена Владимировна" w:date="2024-03-27T16:11:00Z" w:initials="ЗЕВ">
    <w:p w:rsidR="00576E3E" w:rsidRDefault="00576E3E" w:rsidP="00576E3E">
      <w:pPr>
        <w:pStyle w:val="a6"/>
      </w:pPr>
      <w:r>
        <w:rPr>
          <w:rStyle w:val="a5"/>
        </w:rPr>
        <w:annotationRef/>
      </w:r>
      <w:r>
        <w:t>Можете не выделять три роли субъектов доступа, можете оставить только администратора безопасности и пользователя.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76E3E"/>
    <w:rsid w:val="005A05CE"/>
    <w:rsid w:val="00631692"/>
    <w:rsid w:val="00653AF6"/>
    <w:rsid w:val="007A3A27"/>
    <w:rsid w:val="008347F4"/>
    <w:rsid w:val="00882758"/>
    <w:rsid w:val="009921BA"/>
    <w:rsid w:val="00B73A5A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2024-03-27T13:12:00Z</cp:lastPrinted>
  <dcterms:created xsi:type="dcterms:W3CDTF">2024-03-27T13:12:00Z</dcterms:created>
  <dcterms:modified xsi:type="dcterms:W3CDTF">2024-03-27T13:12:00Z</dcterms:modified>
</cp:coreProperties>
</file>