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DCAE1" w14:textId="77777777" w:rsidR="003D6D7D" w:rsidRPr="002144F0" w:rsidRDefault="002144F0" w:rsidP="002144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44F0">
        <w:rPr>
          <w:rFonts w:ascii="Times New Roman" w:hAnsi="Times New Roman" w:cs="Times New Roman"/>
          <w:sz w:val="28"/>
          <w:szCs w:val="28"/>
        </w:rPr>
        <w:t>Художественно-эстетическое воспитание </w:t>
      </w:r>
      <w:bookmarkEnd w:id="0"/>
      <w:r w:rsidRPr="002144F0">
        <w:rPr>
          <w:rFonts w:ascii="Times New Roman" w:hAnsi="Times New Roman" w:cs="Times New Roman"/>
          <w:sz w:val="28"/>
          <w:szCs w:val="28"/>
        </w:rPr>
        <w:t>- это воспитание посредством искусства эстетических эмоций и чувств, художественно-эстетической культуры ли</w:t>
      </w:r>
      <w:r>
        <w:rPr>
          <w:rFonts w:ascii="Times New Roman" w:hAnsi="Times New Roman" w:cs="Times New Roman"/>
          <w:sz w:val="28"/>
          <w:szCs w:val="28"/>
        </w:rPr>
        <w:t xml:space="preserve">чности, развитие сущностных сил </w:t>
      </w:r>
      <w:r w:rsidRPr="002144F0">
        <w:rPr>
          <w:rFonts w:ascii="Times New Roman" w:hAnsi="Times New Roman" w:cs="Times New Roman"/>
          <w:sz w:val="28"/>
          <w:szCs w:val="28"/>
        </w:rPr>
        <w:t>и художественно-творческих способностей человека, утверждение эстетико-гуманистического отношения к окружающей действительности и искусству.</w:t>
      </w:r>
    </w:p>
    <w:sectPr w:rsidR="003D6D7D" w:rsidRPr="0021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4F0"/>
    <w:rsid w:val="002144F0"/>
    <w:rsid w:val="002F131F"/>
    <w:rsid w:val="003D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53F2"/>
  <w15:docId w15:val="{AF10BEB1-6A90-433E-A404-835334BA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Фёдор</cp:lastModifiedBy>
  <cp:revision>2</cp:revision>
  <dcterms:created xsi:type="dcterms:W3CDTF">2023-03-13T19:51:00Z</dcterms:created>
  <dcterms:modified xsi:type="dcterms:W3CDTF">2023-03-13T19:51:00Z</dcterms:modified>
</cp:coreProperties>
</file>