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69597C">
      <w:pPr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sz w:val="24"/>
          <w:szCs w:val="24"/>
        </w:rPr>
        <w:t>Материально-техническое обеспечение и оснащенность организации отдыха детей и их оздоровления</w:t>
      </w:r>
    </w:p>
    <w:p w14:paraId="4AFA807D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4"/>
        <w:tblW w:w="95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5280"/>
      </w:tblGrid>
      <w:tr w14:paraId="75B21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5C82F905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t>Дата ввода используемых организацией отдыха детей и их оздоровления объектов (для организаций стационарного типа) и дата проведения капитального ремонта</w:t>
            </w:r>
          </w:p>
          <w:p w14:paraId="4CF36F8D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</w:p>
        </w:tc>
        <w:tc>
          <w:tcPr>
            <w:tcW w:w="5280" w:type="dxa"/>
          </w:tcPr>
          <w:p w14:paraId="40B561D3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t>Ввод в эксплуатацию-19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lang w:val="ru-RU"/>
              </w:rPr>
              <w:t>94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t xml:space="preserve"> год.</w:t>
            </w:r>
          </w:p>
          <w:p w14:paraId="4E685EEA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4CD26B7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t>Установка пластиковых окон - 2020 год</w:t>
            </w:r>
          </w:p>
          <w:p w14:paraId="66A11E13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4F78383E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t>Тек.ремонт-202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t>год. Косметический ремонт кабинетов и рекреаций, коридоров и служебных помещений</w:t>
            </w:r>
          </w:p>
          <w:p w14:paraId="2032F22B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</w:p>
        </w:tc>
      </w:tr>
      <w:tr w14:paraId="52684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55EC4E3B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t>Информация о проживании и питании детей в организации отдыха детей и их оздоровления</w:t>
            </w:r>
          </w:p>
          <w:p w14:paraId="4BF7B5C9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</w:p>
        </w:tc>
        <w:tc>
          <w:tcPr>
            <w:tcW w:w="5280" w:type="dxa"/>
          </w:tcPr>
          <w:p w14:paraId="6188B5B6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t>Без проживания, питание двухразовое (завтрак и обед) осуществляет МОУ «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lang w:val="ru-RU"/>
              </w:rPr>
              <w:t>Изумрудновская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t xml:space="preserve"> школа» на базе школьной столовой.</w:t>
            </w:r>
          </w:p>
          <w:p w14:paraId="0FA64D4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5820BE44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t xml:space="preserve">Столовая на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lang w:val="ru-RU"/>
              </w:rPr>
              <w:t>88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t xml:space="preserve"> посадочных мест в одну смену.</w:t>
            </w:r>
          </w:p>
          <w:p w14:paraId="386DF865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</w:p>
        </w:tc>
      </w:tr>
      <w:tr w14:paraId="438F2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37CE7531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t>Наличие оборудованного места для купания</w:t>
            </w:r>
          </w:p>
          <w:p w14:paraId="672E7B1D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</w:p>
        </w:tc>
        <w:tc>
          <w:tcPr>
            <w:tcW w:w="5280" w:type="dxa"/>
          </w:tcPr>
          <w:p w14:paraId="7D09DEFA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t>Отсутствует</w:t>
            </w:r>
          </w:p>
          <w:p w14:paraId="24D77AB4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</w:p>
        </w:tc>
      </w:tr>
      <w:tr w14:paraId="2B651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7331BD59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t>Информация о наличии санитарно-эпидемиологического заключения (номер, дата)</w:t>
            </w:r>
          </w:p>
          <w:p w14:paraId="1BAB5A7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</w:p>
        </w:tc>
        <w:tc>
          <w:tcPr>
            <w:tcW w:w="5280" w:type="dxa"/>
          </w:tcPr>
          <w:p w14:paraId="366C3F4B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t>№ 82.01.01.000.М.000744.05.25   от  22.05.2025 года на лагерь</w:t>
            </w:r>
          </w:p>
          <w:p w14:paraId="1DE68FA9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5E5F0B0D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t>№ 82.01.01.000.М.002002.09.22 от 22.09.2022 - на школу</w:t>
            </w:r>
          </w:p>
          <w:p w14:paraId="422C657A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2B0564A3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t>№82.01.01.000.М.000303.03.23 от 01.03.2023г. - на мед.каб</w:t>
            </w:r>
          </w:p>
          <w:p w14:paraId="6E694775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</w:p>
        </w:tc>
      </w:tr>
      <w:tr w14:paraId="25A8A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42BB0D6D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t>Информация о наличии лицензии на осуществление медицинской деятельности (номер, дата) (Уведомление о медицинской деятельности)</w:t>
            </w:r>
          </w:p>
          <w:p w14:paraId="31D365C4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</w:p>
        </w:tc>
        <w:tc>
          <w:tcPr>
            <w:tcW w:w="5280" w:type="dxa"/>
          </w:tcPr>
          <w:p w14:paraId="38FA703C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t>Лицензия № Л041-01177-91/00633011 от 21.12.2022</w:t>
            </w:r>
          </w:p>
          <w:p w14:paraId="7EA453AE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</w:p>
        </w:tc>
      </w:tr>
      <w:tr w14:paraId="70C57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7150CF34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t>Информация о наличии лицензии на осуществление образовательной деятельности (номер, дата)</w:t>
            </w:r>
          </w:p>
        </w:tc>
        <w:tc>
          <w:tcPr>
            <w:tcW w:w="5280" w:type="dxa"/>
          </w:tcPr>
          <w:p w14:paraId="225FC71D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t>Лицензия № Л035-01251-91/00272920 от 19 июля 2016 года</w:t>
            </w:r>
          </w:p>
          <w:p w14:paraId="635D59B8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</w:p>
        </w:tc>
      </w:tr>
      <w:tr w14:paraId="399A2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6D5062F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t>Обеспечение в организации отдыха детей и их оздоровления доступности услуг для детей-инвалидов и детей с ограниченными возможностями здоровья</w:t>
            </w:r>
          </w:p>
          <w:p w14:paraId="5405B7A9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280" w:type="dxa"/>
          </w:tcPr>
          <w:p w14:paraId="6E0966B2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t>Паспорт доступности 14.11.2016 №7 Имеется  маркировка на входных дверях для слабовидящих, Официальный сайт в сети Интернет имеет версию для слабовидящих</w:t>
            </w:r>
          </w:p>
          <w:p w14:paraId="0272B153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</w:p>
        </w:tc>
      </w:tr>
    </w:tbl>
    <w:p w14:paraId="2B74FA74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</w:p>
    <w:p w14:paraId="3D360D89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</w:p>
    <w:p w14:paraId="29C4CAD1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</w:p>
    <w:p w14:paraId="08A9D6EF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</w:p>
    <w:p w14:paraId="44038181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</w:p>
    <w:p w14:paraId="72441D84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</w:p>
    <w:p w14:paraId="3A6DBF12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</w:p>
    <w:p w14:paraId="50176968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</w:p>
    <w:p w14:paraId="616C9556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</w:p>
    <w:p w14:paraId="22FF9ECA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</w:p>
    <w:p w14:paraId="473560F5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</w:p>
    <w:p w14:paraId="2E1D5B7C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</w:p>
    <w:p w14:paraId="55CCC2F9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</w:p>
    <w:p w14:paraId="25D0F2AB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</w:p>
    <w:p w14:paraId="4795B98D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</w:p>
    <w:p w14:paraId="19E6FE90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</w:p>
    <w:p w14:paraId="79D5BBFD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</w:p>
    <w:p w14:paraId="69DD6891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</w:p>
    <w:p w14:paraId="5C6A17AD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Территория</w:t>
      </w:r>
      <w:r>
        <w:rPr>
          <w:rFonts w:hint="default" w:ascii="Times New Roman" w:hAnsi="Times New Roman" w:cs="Times New Roman"/>
          <w:sz w:val="24"/>
          <w:szCs w:val="24"/>
        </w:rPr>
        <w:t xml:space="preserve"> лагеря с дневным пребыванием детей 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Изумруд</w:t>
      </w:r>
      <w:r>
        <w:rPr>
          <w:rFonts w:hint="default" w:ascii="Times New Roman" w:hAnsi="Times New Roman" w:cs="Times New Roman"/>
          <w:sz w:val="24"/>
          <w:szCs w:val="24"/>
        </w:rPr>
        <w:t>» ограждена по периметру забором, в железном исполнении и озеленена. Озеленение деревьями и кустарниками проведено с учетом климатических условий. Территория  озеленена  по периметру. При озеленении территории исключена  посадка деревьев и кустарников с ядовитыми плодами, ядовитых и колючих растений.</w:t>
      </w:r>
    </w:p>
    <w:p w14:paraId="5471BAAD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B24BB96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Питание</w:t>
      </w:r>
      <w:r>
        <w:rPr>
          <w:rFonts w:hint="default" w:ascii="Times New Roman" w:hAnsi="Times New Roman" w:cs="Times New Roman"/>
          <w:sz w:val="24"/>
          <w:szCs w:val="24"/>
        </w:rPr>
        <w:t xml:space="preserve"> организуется на базе МОУ 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Изумрудновская</w:t>
      </w:r>
      <w:r>
        <w:rPr>
          <w:rFonts w:hint="default" w:ascii="Times New Roman" w:hAnsi="Times New Roman" w:cs="Times New Roman"/>
          <w:sz w:val="24"/>
          <w:szCs w:val="24"/>
        </w:rPr>
        <w:t xml:space="preserve"> школа», творческие, спортивные мероприятия на базе МОУ 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Изумрудновская</w:t>
      </w:r>
      <w:r>
        <w:rPr>
          <w:rFonts w:hint="default" w:ascii="Times New Roman" w:hAnsi="Times New Roman" w:cs="Times New Roman"/>
          <w:sz w:val="24"/>
          <w:szCs w:val="24"/>
        </w:rPr>
        <w:t xml:space="preserve"> школа». Данная организация имеет санитарно-эпидемиологическое заключение на ведение образовательной деятельности.</w:t>
      </w:r>
    </w:p>
    <w:p w14:paraId="425BF494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CA14C92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Оздоровительное учреждение комплектуется детьми и подростками, в возрасте от 7   до 10 лет. Оздоровительное учреждение комплектуется из числа обучающихся образовательной организации.</w:t>
      </w:r>
    </w:p>
    <w:p w14:paraId="29394012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5D3B466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Организация работы оздоровительного учреждения с дневным пребыванием детей в период каникул будет осуществляться в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режиме пребывания детей</w:t>
      </w:r>
      <w:r>
        <w:rPr>
          <w:rFonts w:hint="default" w:ascii="Times New Roman" w:hAnsi="Times New Roman" w:cs="Times New Roman"/>
          <w:sz w:val="24"/>
          <w:szCs w:val="24"/>
        </w:rPr>
        <w:t>: с 08.30 до 14.30 часов с организацией 2-разового питания (завтрак и обед). Место проведения питания: МОУ 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Изумрудновская</w:t>
      </w:r>
      <w:r>
        <w:rPr>
          <w:rFonts w:hint="default" w:ascii="Times New Roman" w:hAnsi="Times New Roman" w:cs="Times New Roman"/>
          <w:sz w:val="24"/>
          <w:szCs w:val="24"/>
        </w:rPr>
        <w:t xml:space="preserve"> школа». Субъект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организации питания</w:t>
      </w:r>
      <w:r>
        <w:rPr>
          <w:rFonts w:hint="default" w:ascii="Times New Roman" w:hAnsi="Times New Roman" w:cs="Times New Roman"/>
          <w:sz w:val="24"/>
          <w:szCs w:val="24"/>
        </w:rPr>
        <w:t>: МОУ 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Изумрудновская</w:t>
      </w:r>
      <w:r>
        <w:rPr>
          <w:rFonts w:hint="default" w:ascii="Times New Roman" w:hAnsi="Times New Roman" w:cs="Times New Roman"/>
          <w:sz w:val="24"/>
          <w:szCs w:val="24"/>
        </w:rPr>
        <w:t xml:space="preserve"> школа».</w:t>
      </w:r>
    </w:p>
    <w:p w14:paraId="30A96B4B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73607E23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  <w:r>
        <w:rPr>
          <w:rFonts w:hint="default" w:ascii="Times New Roman" w:hAnsi="Times New Roman" w:cs="Times New Roman"/>
          <w:sz w:val="24"/>
          <w:szCs w:val="24"/>
          <w:highlight w:val="yellow"/>
        </w:rPr>
        <w:t xml:space="preserve"> В образовательной организации имеется необходимый набор 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yellow"/>
        </w:rPr>
        <w:t>помещений пищеблока</w:t>
      </w:r>
      <w:r>
        <w:rPr>
          <w:rFonts w:hint="default" w:ascii="Times New Roman" w:hAnsi="Times New Roman" w:cs="Times New Roman"/>
          <w:sz w:val="24"/>
          <w:szCs w:val="24"/>
          <w:highlight w:val="yellow"/>
        </w:rPr>
        <w:t>: моечная, мясной цех, овощной цех, варочный цех, раздаточная, кладовая, санузел для персонала. Пищеблок оснащен технологическим оборудованием. Работу пищеблока обеспечивает МОУ «</w:t>
      </w:r>
      <w:r>
        <w:rPr>
          <w:rFonts w:hint="default" w:ascii="Times New Roman" w:hAnsi="Times New Roman" w:cs="Times New Roman"/>
          <w:sz w:val="24"/>
          <w:szCs w:val="24"/>
          <w:highlight w:val="yellow"/>
          <w:lang w:val="ru-RU"/>
        </w:rPr>
        <w:t>Изумрудновская</w:t>
      </w:r>
      <w:r>
        <w:rPr>
          <w:rFonts w:hint="default" w:ascii="Times New Roman" w:hAnsi="Times New Roman" w:cs="Times New Roman"/>
          <w:sz w:val="24"/>
          <w:szCs w:val="24"/>
          <w:highlight w:val="yellow"/>
        </w:rPr>
        <w:t xml:space="preserve"> школа». Холодильное и технологическое оборудование исправно. Температурный режим соблюдается. Инвентарь, посуда, тара изготовлены из материалов, разрешенных для контакта с пищевыми продуктами. Имеется маркировка. Электроплита, являющаяся источником повышенного выделения влаги, тепла, газов, обеспечена локальной системой вытяжной вентиляции (вытяжным зонтом), с механическим побуждением.</w:t>
      </w:r>
    </w:p>
    <w:p w14:paraId="219FE473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42CB5C4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highlight w:val="yellow"/>
        </w:rPr>
        <w:t xml:space="preserve">Обеденный зал </w:t>
      </w:r>
      <w:r>
        <w:rPr>
          <w:rFonts w:hint="default" w:ascii="Times New Roman" w:hAnsi="Times New Roman" w:cs="Times New Roman"/>
          <w:sz w:val="24"/>
          <w:szCs w:val="24"/>
          <w:highlight w:val="yellow"/>
        </w:rPr>
        <w:t xml:space="preserve">рассчитан на </w:t>
      </w:r>
      <w:r>
        <w:rPr>
          <w:rFonts w:hint="default" w:ascii="Times New Roman" w:hAnsi="Times New Roman" w:cs="Times New Roman"/>
          <w:sz w:val="24"/>
          <w:szCs w:val="24"/>
          <w:highlight w:val="yellow"/>
          <w:lang w:val="ru-RU"/>
        </w:rPr>
        <w:t>88</w:t>
      </w:r>
      <w:r>
        <w:rPr>
          <w:rFonts w:hint="default" w:ascii="Times New Roman" w:hAnsi="Times New Roman" w:cs="Times New Roman"/>
          <w:sz w:val="24"/>
          <w:szCs w:val="24"/>
          <w:highlight w:val="yellow"/>
        </w:rPr>
        <w:t xml:space="preserve"> посадочных мест, которые оборудованы столами и стульями, выполнены из железа с кожаными, легко моющимися поверхностями. Имеется холл-умывальная с 4 раковинами, 2 электрическими сушилками для рук, обеспеченные жидким мылом. Уборка обеденного зала проводится после каждого приема пищи.</w:t>
      </w:r>
    </w:p>
    <w:p w14:paraId="023C4D01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FB81643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  <w:highlight w:val="yellow"/>
        </w:rPr>
        <w:t xml:space="preserve">  На основании сформированного рациона питания разработано десятидневное меню, включающее распределение перечня блюд, кулинарных, мучных, кондитерских и хлебобулочных изделий по отдельным приемам пищи (завтрак, обед). Меню содержит информацию о количественном составе блюд, энергетической и пищевой ценности каждого блюда. Не повторяются одни и те же блюда или кулинарные изделия в один и тот же день или последующие 2-3 дня.   Завтрак состоит из горячего блюда в т.ч. мясного и горячего напитка. Обед включает закуску, первое, второе и сладкое блюдо (в т.ч. соки, фрукты). В качестве закуски используются порционированные овощи. Второе горячее блюдо будет готовиться из мяса, рыбы или птицы с гарниром.</w:t>
      </w:r>
    </w:p>
    <w:p w14:paraId="4145192C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</w:p>
    <w:p w14:paraId="081B9F8E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  <w:r>
        <w:rPr>
          <w:rFonts w:hint="default" w:ascii="Times New Roman" w:hAnsi="Times New Roman" w:cs="Times New Roman"/>
          <w:sz w:val="24"/>
          <w:szCs w:val="24"/>
          <w:highlight w:val="yellow"/>
        </w:rPr>
        <w:t xml:space="preserve">В 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yellow"/>
        </w:rPr>
        <w:t>состав помещени</w:t>
      </w:r>
      <w:r>
        <w:rPr>
          <w:rFonts w:hint="default" w:ascii="Times New Roman" w:hAnsi="Times New Roman" w:cs="Times New Roman"/>
          <w:sz w:val="24"/>
          <w:szCs w:val="24"/>
          <w:highlight w:val="yellow"/>
        </w:rPr>
        <w:t>й лагеря входят: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97"/>
        <w:gridCol w:w="1512"/>
        <w:gridCol w:w="3882"/>
        <w:gridCol w:w="2131"/>
      </w:tblGrid>
      <w:tr w14:paraId="53FA4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7" w:type="dxa"/>
          </w:tcPr>
          <w:p w14:paraId="0CA38D42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t>№ п/п</w:t>
            </w:r>
          </w:p>
        </w:tc>
        <w:tc>
          <w:tcPr>
            <w:tcW w:w="1512" w:type="dxa"/>
          </w:tcPr>
          <w:p w14:paraId="0FFFD414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t>№ кабинета</w:t>
            </w:r>
          </w:p>
          <w:p w14:paraId="43969405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6B2A4168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</w:p>
        </w:tc>
        <w:tc>
          <w:tcPr>
            <w:tcW w:w="3882" w:type="dxa"/>
          </w:tcPr>
          <w:p w14:paraId="232EDF33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t>Перечень помещений</w:t>
            </w:r>
          </w:p>
          <w:p w14:paraId="75F47B4F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</w:p>
        </w:tc>
        <w:tc>
          <w:tcPr>
            <w:tcW w:w="2131" w:type="dxa"/>
          </w:tcPr>
          <w:p w14:paraId="3E40BFCF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  <w:t>Площадь м2.</w:t>
            </w:r>
          </w:p>
          <w:p w14:paraId="093F4060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</w:p>
        </w:tc>
      </w:tr>
      <w:tr w14:paraId="70AAB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7" w:type="dxa"/>
          </w:tcPr>
          <w:p w14:paraId="46654CEA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  <w:lang w:val="ru-RU"/>
              </w:rPr>
              <w:t>1</w:t>
            </w:r>
          </w:p>
        </w:tc>
        <w:tc>
          <w:tcPr>
            <w:tcW w:w="1512" w:type="dxa"/>
          </w:tcPr>
          <w:p w14:paraId="5933CB4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</w:p>
        </w:tc>
        <w:tc>
          <w:tcPr>
            <w:tcW w:w="3882" w:type="dxa"/>
          </w:tcPr>
          <w:p w14:paraId="4BCE2894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  <w:lang w:val="ru-RU"/>
              </w:rPr>
              <w:t>Игровая комната</w:t>
            </w:r>
          </w:p>
        </w:tc>
        <w:tc>
          <w:tcPr>
            <w:tcW w:w="2131" w:type="dxa"/>
          </w:tcPr>
          <w:p w14:paraId="6D106602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</w:p>
        </w:tc>
      </w:tr>
      <w:tr w14:paraId="2BD55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7" w:type="dxa"/>
          </w:tcPr>
          <w:p w14:paraId="23148109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  <w:lang w:val="ru-RU"/>
              </w:rPr>
              <w:t>2</w:t>
            </w:r>
          </w:p>
        </w:tc>
        <w:tc>
          <w:tcPr>
            <w:tcW w:w="1512" w:type="dxa"/>
          </w:tcPr>
          <w:p w14:paraId="6B9D7981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</w:p>
        </w:tc>
        <w:tc>
          <w:tcPr>
            <w:tcW w:w="3882" w:type="dxa"/>
          </w:tcPr>
          <w:p w14:paraId="5E7B1EE4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  <w:lang w:val="ru-RU"/>
              </w:rPr>
              <w:t>Игровая комната</w:t>
            </w:r>
          </w:p>
        </w:tc>
        <w:tc>
          <w:tcPr>
            <w:tcW w:w="2131" w:type="dxa"/>
          </w:tcPr>
          <w:p w14:paraId="1DA90842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</w:p>
        </w:tc>
      </w:tr>
      <w:tr w14:paraId="58CE0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7" w:type="dxa"/>
          </w:tcPr>
          <w:p w14:paraId="3ED6A719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  <w:lang w:val="ru-RU"/>
              </w:rPr>
              <w:t>3</w:t>
            </w:r>
          </w:p>
        </w:tc>
        <w:tc>
          <w:tcPr>
            <w:tcW w:w="1512" w:type="dxa"/>
          </w:tcPr>
          <w:p w14:paraId="08AB37C5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</w:p>
        </w:tc>
        <w:tc>
          <w:tcPr>
            <w:tcW w:w="3882" w:type="dxa"/>
          </w:tcPr>
          <w:p w14:paraId="75BC1B71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  <w:lang w:val="ru-RU"/>
              </w:rPr>
              <w:t>Игровая комната</w:t>
            </w:r>
          </w:p>
        </w:tc>
        <w:tc>
          <w:tcPr>
            <w:tcW w:w="2131" w:type="dxa"/>
          </w:tcPr>
          <w:p w14:paraId="4E6AD8CA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</w:p>
        </w:tc>
      </w:tr>
      <w:tr w14:paraId="17A1B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7" w:type="dxa"/>
          </w:tcPr>
          <w:p w14:paraId="38A11DD1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  <w:lang w:val="ru-RU"/>
              </w:rPr>
              <w:t>4</w:t>
            </w:r>
          </w:p>
        </w:tc>
        <w:tc>
          <w:tcPr>
            <w:tcW w:w="1512" w:type="dxa"/>
          </w:tcPr>
          <w:p w14:paraId="44EED7D9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</w:p>
        </w:tc>
        <w:tc>
          <w:tcPr>
            <w:tcW w:w="3882" w:type="dxa"/>
          </w:tcPr>
          <w:p w14:paraId="7E5F90C4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  <w:lang w:val="ru-RU"/>
              </w:rPr>
              <w:t>Обеденный зал</w:t>
            </w:r>
          </w:p>
        </w:tc>
        <w:tc>
          <w:tcPr>
            <w:tcW w:w="2131" w:type="dxa"/>
          </w:tcPr>
          <w:p w14:paraId="65657111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</w:p>
        </w:tc>
      </w:tr>
      <w:tr w14:paraId="73DE3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7" w:type="dxa"/>
          </w:tcPr>
          <w:p w14:paraId="7B7836C1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  <w:lang w:val="ru-RU"/>
              </w:rPr>
              <w:t>5</w:t>
            </w:r>
          </w:p>
        </w:tc>
        <w:tc>
          <w:tcPr>
            <w:tcW w:w="1512" w:type="dxa"/>
          </w:tcPr>
          <w:p w14:paraId="600B906E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</w:p>
        </w:tc>
        <w:tc>
          <w:tcPr>
            <w:tcW w:w="3882" w:type="dxa"/>
          </w:tcPr>
          <w:p w14:paraId="1FCC8F88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  <w:lang w:val="ru-RU"/>
              </w:rPr>
              <w:t>Медицинский кабинет</w:t>
            </w:r>
          </w:p>
        </w:tc>
        <w:tc>
          <w:tcPr>
            <w:tcW w:w="2131" w:type="dxa"/>
          </w:tcPr>
          <w:p w14:paraId="505D6936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</w:p>
        </w:tc>
      </w:tr>
      <w:tr w14:paraId="35D90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7" w:type="dxa"/>
          </w:tcPr>
          <w:p w14:paraId="1C4F7A44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  <w:lang w:val="ru-RU"/>
              </w:rPr>
              <w:t>6</w:t>
            </w:r>
          </w:p>
        </w:tc>
        <w:tc>
          <w:tcPr>
            <w:tcW w:w="1512" w:type="dxa"/>
          </w:tcPr>
          <w:p w14:paraId="701BD480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</w:p>
        </w:tc>
        <w:tc>
          <w:tcPr>
            <w:tcW w:w="3882" w:type="dxa"/>
          </w:tcPr>
          <w:p w14:paraId="450EDD00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  <w:lang w:val="ru-RU"/>
              </w:rPr>
              <w:t>Санузел женский</w:t>
            </w:r>
          </w:p>
        </w:tc>
        <w:tc>
          <w:tcPr>
            <w:tcW w:w="2131" w:type="dxa"/>
          </w:tcPr>
          <w:p w14:paraId="28F60571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</w:p>
        </w:tc>
      </w:tr>
      <w:tr w14:paraId="3FEB5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7" w:type="dxa"/>
          </w:tcPr>
          <w:p w14:paraId="46201613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  <w:lang w:val="ru-RU"/>
              </w:rPr>
              <w:t>7</w:t>
            </w:r>
          </w:p>
        </w:tc>
        <w:tc>
          <w:tcPr>
            <w:tcW w:w="1512" w:type="dxa"/>
          </w:tcPr>
          <w:p w14:paraId="3AA24B30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</w:p>
        </w:tc>
        <w:tc>
          <w:tcPr>
            <w:tcW w:w="3882" w:type="dxa"/>
          </w:tcPr>
          <w:p w14:paraId="7E21E018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  <w:lang w:val="ru-RU"/>
              </w:rPr>
              <w:t xml:space="preserve">Санузел мужской </w:t>
            </w:r>
          </w:p>
        </w:tc>
        <w:tc>
          <w:tcPr>
            <w:tcW w:w="2131" w:type="dxa"/>
          </w:tcPr>
          <w:p w14:paraId="46B78DD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vertAlign w:val="baseline"/>
              </w:rPr>
            </w:pPr>
          </w:p>
        </w:tc>
      </w:tr>
    </w:tbl>
    <w:p w14:paraId="51BF3D6E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</w:p>
    <w:p w14:paraId="6DD40472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Гардеробные, раздевалки оборудованы вешалками. Занятия физкультурой и спортом планируется проводить в спортивном зале (сделан косметический ремонт) и на территории спортивной площадки. Душевые и туалеты при спортивном зале не исправны. Физкультурно-оздоровительная работа предусматривает следующие мероприятия:</w:t>
      </w:r>
    </w:p>
    <w:p w14:paraId="457DEC44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76AC3213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утренняя гимнастика,</w:t>
      </w:r>
    </w:p>
    <w:p w14:paraId="24EB4F3E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A96235C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мастер-классы по различным видам спорта (легкая атлетика, футбол, туризм, волейбол, прыжки в длину и в высоту).</w:t>
      </w:r>
    </w:p>
    <w:p w14:paraId="23CB9674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74F7233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Организация медицинского обслуживания детей будет осуществляться внештатной медицинской сестрой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Божок В.В</w:t>
      </w:r>
      <w:r>
        <w:rPr>
          <w:rFonts w:hint="default" w:ascii="Times New Roman" w:hAnsi="Times New Roman" w:cs="Times New Roman"/>
          <w:sz w:val="24"/>
          <w:szCs w:val="24"/>
        </w:rPr>
        <w:t xml:space="preserve">. Кабинет оснащен необходимым оборудованием, инструментарием, приборами, аптечками неотложной помощи для осуществления медицинской деятельности.         </w:t>
      </w:r>
    </w:p>
    <w:p w14:paraId="68473DA1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1C6CF95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</w:t>
      </w:r>
      <w:r>
        <w:rPr>
          <w:rFonts w:hint="default" w:ascii="Times New Roman" w:hAnsi="Times New Roman" w:cs="Times New Roman"/>
          <w:sz w:val="24"/>
          <w:szCs w:val="24"/>
          <w:highlight w:val="yellow"/>
        </w:rPr>
        <w:t>Туалеты для мальчиков и девочек раздельные (женский на 1 этаже, мужской – на втором), и оборудованы кабинами с дверями с запорами. Санузлы оборудованы необходимым инвентарем. Санитарно-техническое оборудование (унитазы-3шт, раковины- 2 шт, имеется подача холодной и горячей воды) исправное, без сколов, трещин и других дефектов. Унитазы обеспеченны сидениями, позволяющими проводить их ежедневную влажную уборку с применением моющих и дезинфицирующих средств. Стены, где находятся раковины, обложены плиткой высотой от пола 170см. Для персонала выделен отдельный туалет (на 1 этаже).</w:t>
      </w:r>
    </w:p>
    <w:p w14:paraId="31D9C60E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C8DB2CE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  <w:r>
        <w:rPr>
          <w:rFonts w:hint="default" w:ascii="Times New Roman" w:hAnsi="Times New Roman" w:cs="Times New Roman"/>
          <w:sz w:val="24"/>
          <w:szCs w:val="24"/>
          <w:highlight w:val="yellow"/>
        </w:rPr>
        <w:t>На территории школы имеется надворный туалет (по 6 отделений в мужском и женском отделе).</w:t>
      </w:r>
    </w:p>
    <w:p w14:paraId="3A4313BD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</w:p>
    <w:p w14:paraId="72A061D8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  <w:r>
        <w:rPr>
          <w:rFonts w:hint="default" w:ascii="Times New Roman" w:hAnsi="Times New Roman" w:cs="Times New Roman"/>
          <w:sz w:val="24"/>
          <w:szCs w:val="24"/>
          <w:highlight w:val="yellow"/>
        </w:rPr>
        <w:t>В помещениях соблюдается режим проветривания. Для этих целей 100% окон открываются. Проветривание помещений проводится в отсутствии детей.</w:t>
      </w:r>
    </w:p>
    <w:p w14:paraId="47D4D645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</w:p>
    <w:p w14:paraId="0F68BDF0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  <w:r>
        <w:rPr>
          <w:rFonts w:hint="default" w:ascii="Times New Roman" w:hAnsi="Times New Roman" w:cs="Times New Roman"/>
          <w:sz w:val="24"/>
          <w:szCs w:val="24"/>
          <w:highlight w:val="yellow"/>
        </w:rPr>
        <w:t xml:space="preserve"> Все основные помещения оздоровительного учреждения имеют естественное освещение. Искусственное освещение представлено светильниками с люминесцентными и светодиодными лампами.  </w:t>
      </w:r>
    </w:p>
    <w:p w14:paraId="0F73EB4E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</w:p>
    <w:p w14:paraId="5F887AF4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  <w:r>
        <w:rPr>
          <w:rFonts w:hint="default" w:ascii="Times New Roman" w:hAnsi="Times New Roman" w:cs="Times New Roman"/>
          <w:sz w:val="24"/>
          <w:szCs w:val="24"/>
          <w:highlight w:val="yellow"/>
        </w:rPr>
        <w:t xml:space="preserve">     Здание оборудованы централизованным холодным водоснабжением, отоплением, канализацией (2 выгребные ямы). Горячее водоснабжение осуществляется посредством водонагревателей.</w:t>
      </w:r>
    </w:p>
    <w:p w14:paraId="3D61ED5B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</w:p>
    <w:p w14:paraId="4AC9510B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  <w:r>
        <w:rPr>
          <w:rFonts w:hint="default" w:ascii="Times New Roman" w:hAnsi="Times New Roman" w:cs="Times New Roman"/>
          <w:sz w:val="24"/>
          <w:szCs w:val="24"/>
          <w:highlight w:val="yellow"/>
        </w:rPr>
        <w:t xml:space="preserve"> Питьевой режим в оздоровительном учреждении организован в форме фонтанчика и бутилированной питьевой воды. Для соблюдения питьевого режима имеется достаточное количество чистой посуды. Для детей и подростков обеспечен свободный доступ к питьевой воде.</w:t>
      </w:r>
    </w:p>
    <w:p w14:paraId="004FC862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</w:p>
    <w:p w14:paraId="63C2AAF8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  <w:r>
        <w:rPr>
          <w:rFonts w:hint="default" w:ascii="Times New Roman" w:hAnsi="Times New Roman" w:cs="Times New Roman"/>
          <w:sz w:val="24"/>
          <w:szCs w:val="24"/>
          <w:highlight w:val="yellow"/>
        </w:rPr>
        <w:t xml:space="preserve"> На территории образовательной организации имеется 3 ворот для въезда автотранспорта (2-е их них – хозяйственные). Уборку территорий проводят ежедневно. Имеется договор на вывоз и размещение (утилизацию) отходов. Контейнеры для сбора мусора находятся на расстоянии от здания школы 25м. Все помещения оздоровительного учреждения подлежат ежедневной влажной уборке с применением моющих средств. Уборка помещений проводится при открытых окнах.</w:t>
      </w:r>
    </w:p>
    <w:p w14:paraId="466FCC7A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</w:p>
    <w:p w14:paraId="5DE4788C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  <w:r>
        <w:rPr>
          <w:rFonts w:hint="default" w:ascii="Times New Roman" w:hAnsi="Times New Roman" w:cs="Times New Roman"/>
          <w:sz w:val="24"/>
          <w:szCs w:val="24"/>
          <w:highlight w:val="yellow"/>
        </w:rPr>
        <w:t xml:space="preserve"> В оздоровительном учреждении с дневным пребыванием детей в период каникул для проведения уборки и дезинфекции помещений и оборудования используют моющие, чистящие и дезинфицирующие средства, разрешенные к применению в установленном порядке. При использовании моющих и дезинфицирующих средств соблюдают инструкции по их применению.</w:t>
      </w:r>
    </w:p>
    <w:p w14:paraId="2F085C86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</w:p>
    <w:p w14:paraId="77FF7A8C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  <w:r>
        <w:rPr>
          <w:rFonts w:hint="default" w:ascii="Times New Roman" w:hAnsi="Times New Roman" w:cs="Times New Roman"/>
          <w:sz w:val="24"/>
          <w:szCs w:val="24"/>
          <w:highlight w:val="yellow"/>
        </w:rPr>
        <w:t xml:space="preserve"> Уборка помещений будет проводиться силами технического персонала (без привлечения детей). Места общего пользования ежедневно убирают с использованием моющих и дезинфицирующих средств и содержат в чистоте.</w:t>
      </w:r>
    </w:p>
    <w:p w14:paraId="53D88E5D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</w:p>
    <w:p w14:paraId="7AFA680A">
      <w:pPr>
        <w:jc w:val="both"/>
        <w:rPr>
          <w:rFonts w:hint="default" w:ascii="Times New Roman" w:hAnsi="Times New Roman" w:cs="Times New Roman"/>
          <w:sz w:val="24"/>
          <w:szCs w:val="24"/>
          <w:highlight w:val="yellow"/>
        </w:rPr>
      </w:pPr>
      <w:r>
        <w:rPr>
          <w:rFonts w:hint="default" w:ascii="Times New Roman" w:hAnsi="Times New Roman" w:cs="Times New Roman"/>
          <w:sz w:val="24"/>
          <w:szCs w:val="24"/>
          <w:highlight w:val="yellow"/>
        </w:rPr>
        <w:t xml:space="preserve"> Для хранения и обработки уборочного инвентаря, приготовления дезинфекционных растворов, предусмотрено отдельное помещение. Уборочный инвентарь для уборки санитарных узлов (ведра, тазы, швабры, ветошь) имеют сигнальную маркировку (красного цвета), используются по назначению и хранятся отдельно от другого уборочного инвентаря.</w:t>
      </w:r>
    </w:p>
    <w:bookmarkEnd w:id="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__Montserrat_Fallback_f1caa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2044E5"/>
    <w:rsid w:val="232044E5"/>
    <w:rsid w:val="55A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76</TotalTime>
  <ScaleCrop>false</ScaleCrop>
  <LinksUpToDate>false</LinksUpToDate>
  <CharactersWithSpaces>0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2026-05-05T09:55:00Z</dcterms:created>
  <dc:creator>User</dc:creator>
  <cp:lastModifiedBy>User</cp:lastModifiedBy>
  <dcterms:modified xsi:type="dcterms:W3CDTF">2026-05-05T11:12:09Z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F5A641AC951D449F9D87E90E51495DF0_11</vt:lpwstr>
  </property>
  <property fmtid="{D5CDD505-2E9C-101B-9397-08002B2CF9AE}" pid="4" name="KSOTemplateDocerSaveRecord">
    <vt:lpwstr>eyJoZGlkIjoiMmVhYjIwYTFkMDUyN2RmOGI2OTNiMWRjYmY5MjBlYTUifQ==</vt:lpwstr>
  </property>
</Properties>
</file>