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8E" w:rsidRPr="0031148E" w:rsidRDefault="0031148E" w:rsidP="00311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1148E" w:rsidRPr="0031148E" w:rsidRDefault="0031148E" w:rsidP="00311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31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31148E" w:rsidRPr="0031148E" w:rsidRDefault="0031148E" w:rsidP="00311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48E" w:rsidRPr="0031148E" w:rsidRDefault="0031148E" w:rsidP="00311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31148E" w:rsidRPr="0031148E" w:rsidTr="00AD76E3">
        <w:trPr>
          <w:trHeight w:val="2259"/>
        </w:trPr>
        <w:tc>
          <w:tcPr>
            <w:tcW w:w="4882" w:type="dxa"/>
          </w:tcPr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31148E" w:rsidRPr="0031148E" w:rsidRDefault="0031148E" w:rsidP="0031148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2F4248" w:rsidRPr="002F4248" w:rsidRDefault="002F4248" w:rsidP="002F4248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48">
        <w:rPr>
          <w:rFonts w:ascii="Times New Roman" w:hAnsi="Times New Roman" w:cs="Times New Roman"/>
          <w:b/>
          <w:sz w:val="24"/>
          <w:szCs w:val="24"/>
        </w:rPr>
        <w:t>о безотметочном обучении и системе оценивания</w:t>
      </w:r>
    </w:p>
    <w:p w:rsidR="002F4248" w:rsidRDefault="002F4248" w:rsidP="002F4248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4248">
        <w:rPr>
          <w:rFonts w:ascii="Times New Roman" w:hAnsi="Times New Roman" w:cs="Times New Roman"/>
          <w:b/>
          <w:sz w:val="24"/>
          <w:szCs w:val="24"/>
        </w:rPr>
        <w:t>уч</w:t>
      </w:r>
      <w:r w:rsidR="006F7A68">
        <w:rPr>
          <w:rFonts w:ascii="Times New Roman" w:hAnsi="Times New Roman" w:cs="Times New Roman"/>
          <w:b/>
          <w:sz w:val="24"/>
          <w:szCs w:val="24"/>
        </w:rPr>
        <w:t>ебных достижений обучающихся 1-ого</w:t>
      </w:r>
      <w:r w:rsidRPr="002F424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2F42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C02AC" w:rsidRDefault="00EC02AC" w:rsidP="002F4248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F4028" w:rsidRDefault="0031148E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31148E">
        <w:rPr>
          <w:rFonts w:eastAsia="Calibri"/>
          <w:b/>
          <w:color w:val="000000"/>
          <w:lang w:eastAsia="en-US"/>
        </w:rPr>
        <w:t>«</w:t>
      </w:r>
      <w:proofErr w:type="spellStart"/>
      <w:r w:rsidRPr="0031148E">
        <w:rPr>
          <w:rFonts w:eastAsia="Calibri"/>
          <w:b/>
          <w:color w:val="000000"/>
          <w:lang w:eastAsia="en-US"/>
        </w:rPr>
        <w:t>Ковыльненская</w:t>
      </w:r>
      <w:proofErr w:type="spellEnd"/>
      <w:r w:rsidRPr="0031148E">
        <w:rPr>
          <w:rFonts w:eastAsia="Calibri"/>
          <w:b/>
          <w:color w:val="000000"/>
          <w:lang w:eastAsia="en-US"/>
        </w:rPr>
        <w:t xml:space="preserve"> школа им. А. </w:t>
      </w:r>
      <w:proofErr w:type="spellStart"/>
      <w:r w:rsidRPr="0031148E">
        <w:rPr>
          <w:rFonts w:eastAsia="Calibri"/>
          <w:b/>
          <w:color w:val="000000"/>
          <w:lang w:eastAsia="en-US"/>
        </w:rPr>
        <w:t>Смолко</w:t>
      </w:r>
      <w:proofErr w:type="spellEnd"/>
      <w:r w:rsidRPr="0031148E">
        <w:rPr>
          <w:rFonts w:eastAsia="Calibri"/>
          <w:b/>
          <w:color w:val="000000"/>
          <w:lang w:eastAsia="en-US"/>
        </w:rPr>
        <w:t xml:space="preserve">» </w:t>
      </w:r>
      <w:proofErr w:type="spellStart"/>
      <w:r w:rsidRPr="0031148E">
        <w:rPr>
          <w:rFonts w:eastAsia="Calibri"/>
          <w:b/>
          <w:color w:val="000000"/>
          <w:lang w:eastAsia="en-US"/>
        </w:rPr>
        <w:t>Раздольненского</w:t>
      </w:r>
      <w:proofErr w:type="spellEnd"/>
      <w:r w:rsidRPr="0031148E">
        <w:rPr>
          <w:rFonts w:eastAsia="Calibri"/>
          <w:b/>
          <w:color w:val="000000"/>
          <w:lang w:eastAsia="en-US"/>
        </w:rPr>
        <w:t xml:space="preserve"> района Республики Крым</w:t>
      </w:r>
    </w:p>
    <w:p w:rsidR="00EC02AC" w:rsidRPr="001E4FF7" w:rsidRDefault="00EC02AC" w:rsidP="001E4FF7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1E4FF7" w:rsidRPr="001E4FF7" w:rsidRDefault="00911C10" w:rsidP="00911C1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1E4FF7"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с: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1E4FF7" w:rsidRPr="001E4FF7" w:rsidRDefault="001E4FF7" w:rsidP="00911C10">
      <w:pPr>
        <w:spacing w:after="120" w:line="240" w:lineRule="auto"/>
        <w:ind w:left="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1E4FF7" w:rsidRPr="001E4FF7" w:rsidRDefault="001E4FF7" w:rsidP="00911C10">
      <w:pPr>
        <w:spacing w:after="120" w:line="240" w:lineRule="auto"/>
        <w:ind w:left="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8.05.2023 № 372 «Об утверждении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образовательной программы начального общего образования»;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Главного государственно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санитарного врача Российской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от 28.09.2020 г. № 28 «Об утвержде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>нии СП 2.4. 3648-20 «Санитарно-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эпидемиологические требования к организациям 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 и обучения, отдыха и оздоровления детей и молодё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жи»;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Главного государственно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санитарного врача Российской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от 28.01.2021 № 2 «Об утверждении с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анитарных правил СП 1.2.3685-21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«Гигиенические нормативы и требования к о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беспечению безопасности и (или)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безвредности для человека факторов среды обитания»;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Методическим письмом «Контроль результатов обучения в начальной школ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е»,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№ 1561/1415 от 19.11.1998 г.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Минобразования РФ «Об орган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>изации обучения в первом классе четырё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хлетней начальной школы» от 25.09.2000 г. № 202/11-13;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Письмом Минобразования РФ «Рекомендации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организации обучения в 1 –м классе четырё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хлетней начальной школы» от 20.04.2001 г. №408/13-13;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Информационным письмом «О систем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оценивания учебных достижений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младших школьников в условиях безотметочного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в общеобразовательных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учреждениях, участвующих в эксперименте по совершенствованию структ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уры и </w:t>
      </w: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 общего образования» № 13-51-120/13 от 03.06.2003 г.</w:t>
      </w:r>
    </w:p>
    <w:p w:rsidR="001E4FF7" w:rsidRPr="001E4FF7" w:rsidRDefault="001E4FF7" w:rsidP="00911C1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proofErr w:type="spellStart"/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31148E" w:rsidRPr="00311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>района Республики Крым.</w:t>
      </w:r>
    </w:p>
    <w:p w:rsidR="001E4FF7" w:rsidRPr="001E4FF7" w:rsidRDefault="00911C10" w:rsidP="00911C1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регламентирует порядок оценивания достижений </w:t>
      </w:r>
      <w:r w:rsidR="001E4FF7"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предметных и метапредметных планируемых рез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ультатов при текущем и итоговом </w:t>
      </w:r>
      <w:r w:rsidR="001E4FF7"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контроле обучающихся 1 класса в течение учебного года.</w:t>
      </w:r>
    </w:p>
    <w:p w:rsidR="001E4FF7" w:rsidRPr="001E4FF7" w:rsidRDefault="001E4FF7" w:rsidP="00911C10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FF7">
        <w:rPr>
          <w:rFonts w:ascii="Times New Roman" w:hAnsi="Times New Roman" w:cs="Times New Roman"/>
          <w:color w:val="000000" w:themeColor="text1"/>
          <w:sz w:val="24"/>
          <w:szCs w:val="24"/>
        </w:rPr>
        <w:t>1.3. Целью данного Положения является создание благоприятных условий для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 ребенка в условиях ФГОС к школе, обеспечивающих его дальнейшее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благополучное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развитие,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воспитание,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способов</w:t>
      </w:r>
      <w:r w:rsidR="00911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оценивания учебных достижений в начальной школе.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Задачи: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личностно ориентированное взаимодействие учителя и детей;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ориентировка педагогической оценки на относительные показатели детской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успешности (сравнение сегодняшних достижений ребенка с его собственными вчерашними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достижениями);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учет индивидуальных способностей детей;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самостоятельности и активности детей;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учебно-познавательной мотивации обучающихся.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 Обучение в 1 классе в течение всего учебного года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безотметочное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 24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Порядка</w:t>
      </w:r>
      <w:proofErr w:type="gram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,у</w:t>
      </w:r>
      <w:proofErr w:type="gram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приказом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22.03.2021 № 115)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Безотметочное обучение представляет собой обучение, в котором отсутствует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как форма количественного выражения результата оценочной деятельности.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Основными принципами безотметочного обучения являются: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содержательный контроль и оценка строятся на критериальной, выработанной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с учениками основе.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приоритет самооценки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учебном процессе наряду с использованием внешней оценки (оценка учителя,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взаимооценка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формируется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своей деятельности.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сочетание качественной и количественной составляющих оценки: качественная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составляющая обеспечивает всестороннее видение способностей учащихся, позволяет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отражать такие важные характеристики, как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коммуникативность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умение работать 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группе, отношение к предмету, уровень прилагаемых усилий, индивидуальный стиль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мышления и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т.д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Количественная составляющая оценки позволяет выстроить шкалу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индивидуальных приращений учащихся, сравнивать сегодняшние достижения ученика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его же успехами некоторое время назад, сопоставлять полученные результаты с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нормативными категориями. Сочетание качественной и количественной составляющих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дает наиболее полную картину динамики развития каждого ученика с учетом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индивидуальных способностей;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естественность процесса контроля и оценки - контроль и оценка должны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проводиться в естественных для учащихся условиях, снижающих стресс и напряжение;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дифференцированный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оценивающих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контролирующих действий;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гибкость и вариативность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различных процедур и методов изучения результативности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обучения.</w:t>
      </w:r>
    </w:p>
    <w:p w:rsidR="00911C10" w:rsidRDefault="00911C10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E4FF7" w:rsidRPr="001E4FF7" w:rsidRDefault="00911C10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</w:t>
      </w:r>
      <w:r w:rsidR="001E4FF7"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Организация системы оценивания учебных достижений младших</w:t>
      </w:r>
      <w:r w:rsidRPr="00911C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E4FF7"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школьников в условиях безотметочного обучения в соответствии с ФГОС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 первом классе исключается система балльного (отметочного) оценивания.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Оцениванию не подлежат темп работы ученика, личностные качества школьников,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своеобразие их психических процессов (особенности памяти, внимания, восприятия,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 деятельности и др.).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Словесному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оцениванию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подлежат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(сравнение сегодняшних дости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жений ребенка с его собственным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вчерашними достижениями):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положительно оценивается каждый удавшийся шаг обучающегося, попытка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(даже неудачная) самостоятельно найти ответ на вопрос;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поощряются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инициативы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высказаться, ответить на вопрос, поработать у доски;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осуществление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информативной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регулируемой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обратной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ориентировано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успех,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содействовать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становлению и развитию самооценки;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оценивание должно быть направлено на эффективное обучение детей.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Промежуточная аттестация в 1 классах не проводится.</w:t>
      </w:r>
    </w:p>
    <w:p w:rsidR="00911C10" w:rsidRDefault="00911C10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Контроль и оценка уровня сформированности метапредметных результатов</w:t>
      </w:r>
      <w:r w:rsidR="00911C10" w:rsidRPr="00911C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Содержательный контроль и оценка обучающихся направлены на выявление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индивидуальной динамики развития школьников (от начала учебного года к концу, от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к году) с учё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том индивидуальных особенностей и личных </w:t>
      </w:r>
      <w:proofErr w:type="gram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успехов</w:t>
      </w:r>
      <w:proofErr w:type="gram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текущий и предыдущий периоды.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3.2.Основными показателями развития обучающихся являются: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сформированность учебно-познавательного интереса;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сформированность основных ценностных ориентиров, которые определяют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мотивационно- потребностную основу личности и усвоение нравственных норм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поведения;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сформированность общеучебных умений, способность определять границы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своего знания- незнания;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сформированность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самоконтроля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самооценки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индивидуальных способностей субъекта учебной деятельности;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способность к преобразованию изученных способов действия в соответствии с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новыми условиями учебной задачи;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самостоятельность суждений, критичность по отношению к своим и чужим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действиям, способность к согласованным действиям с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учѐтом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позиции другого.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фиксируется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учителем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тоговой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проверочной работы по определению предпосылок к формированию метапредметных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результатов.</w:t>
      </w:r>
    </w:p>
    <w:p w:rsidR="00911C10" w:rsidRDefault="00911C10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E4FF7" w:rsidRPr="001E4FF7" w:rsidRDefault="00911C10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11C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 </w:t>
      </w:r>
      <w:r w:rsidR="001E4FF7"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Контроль и оценка уровня сформированности предметных результатов</w:t>
      </w:r>
      <w:r w:rsidRPr="00911C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E4FF7"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Содержательный контроль и оценка предусматривает выявление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идуальной динамики усвоения ребё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нком знаний и умений по учебным предметам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допускает сравнения его с другими детьми.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отслеживания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усвоений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используются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стартовые,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текущие/тематические проверочные работы, итоговые проверочные работы,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сформированности навыков чтения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Стартовая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с целью оценки готовности к обучению на уровне начального общего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образования. В начале 1 класса стартовая диагностика выступает как основа (точка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отсчё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та) для оценки динамики образовательных достижений обучающихся. Объектом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в рамках стартовой диагностики является сформированность предпосылок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учебной деятельности, готовность к 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владению чтением, грамотой и счё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работы: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proofErr w:type="gram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proofErr w:type="gram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пределить уровень стартовых возможностей учащихся 1-х классов.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Выявить общие положительные и отрицательные тенденции готовности учащихся к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обучению в 1 классе.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Скорректировать рабочие программы учителя в соответствии с полученными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результатами диагностической работы.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Текущий контроль позволяет фиксировать степень освоения программного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материала во время его изучения.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Текущая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аттестация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классов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качественно без фиксации их достижений в классных журналах. С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целью отслеживания динамики учебных достижений в 1 классе применяется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встроенное педагогическое наблюдение, условные шкалы, листы индивидуальных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достижений, графики и таблицы.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4.5. Тематические проверочные работы проводятся после изучения наиболее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чимых тем программы. Тестовые работы по математике, русскому языку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включают задания, направленные на проверку пооперационного состава действия,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 необходимо овладеть в рамках данной учебной темы. Самопроверка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навыков чтения осуществляется не реже двух раз за год.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Итоговые контрольные работы по математике и русскому языку проводятся 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 учебного года.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Качественная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предметных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составляется на основе содержательной оценки учителя, рефлексивной самооценки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ученика.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4.8. Количественная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предметных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определяется на основе результатов проверочных работ по предмету. Все виды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контрольно-оценочных работ по учебным предметам оцениваются в процентном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соотношении к максимально возможному количеству баллов, выставляемому за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работу.</w:t>
      </w:r>
    </w:p>
    <w:p w:rsidR="001E4FF7" w:rsidRPr="001E4FF7" w:rsidRDefault="001E4FF7" w:rsidP="00911C1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4.9. Шкала соответствия предметных достижений учащихся уровням усвоения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программного материала.</w:t>
      </w:r>
    </w:p>
    <w:tbl>
      <w:tblPr>
        <w:tblStyle w:val="a4"/>
        <w:tblW w:w="0" w:type="auto"/>
        <w:tblInd w:w="34" w:type="dxa"/>
        <w:tblLook w:val="04A0" w:firstRow="1" w:lastRow="0" w:firstColumn="1" w:lastColumn="0" w:noHBand="0" w:noVBand="1"/>
      </w:tblPr>
      <w:tblGrid>
        <w:gridCol w:w="1485"/>
        <w:gridCol w:w="1235"/>
        <w:gridCol w:w="1688"/>
        <w:gridCol w:w="1180"/>
        <w:gridCol w:w="2153"/>
        <w:gridCol w:w="1570"/>
      </w:tblGrid>
      <w:tr w:rsidR="00911C10" w:rsidTr="00954730">
        <w:tc>
          <w:tcPr>
            <w:tcW w:w="1485" w:type="dxa"/>
          </w:tcPr>
          <w:p w:rsidR="00911C10" w:rsidRPr="001E4FF7" w:rsidRDefault="00911C1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Качество</w:t>
            </w:r>
            <w:r w:rsidRPr="00911C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усвоения</w:t>
            </w:r>
          </w:p>
          <w:p w:rsidR="00911C10" w:rsidRPr="00911C10" w:rsidRDefault="00911C1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35" w:type="dxa"/>
          </w:tcPr>
          <w:p w:rsidR="00911C10" w:rsidRPr="00911C10" w:rsidRDefault="00911C1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90-100%</w:t>
            </w:r>
          </w:p>
        </w:tc>
        <w:tc>
          <w:tcPr>
            <w:tcW w:w="1688" w:type="dxa"/>
          </w:tcPr>
          <w:p w:rsidR="00911C10" w:rsidRPr="00911C10" w:rsidRDefault="00911C1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66 -89%</w:t>
            </w:r>
          </w:p>
        </w:tc>
        <w:tc>
          <w:tcPr>
            <w:tcW w:w="1180" w:type="dxa"/>
          </w:tcPr>
          <w:p w:rsidR="00911C10" w:rsidRPr="001E4FF7" w:rsidRDefault="00911C1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50 -65 %</w:t>
            </w:r>
          </w:p>
          <w:p w:rsidR="00911C10" w:rsidRPr="00911C10" w:rsidRDefault="00911C1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911C10" w:rsidRPr="001E4FF7" w:rsidRDefault="00911C1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меньше 50%</w:t>
            </w:r>
          </w:p>
          <w:p w:rsidR="00911C10" w:rsidRPr="00911C10" w:rsidRDefault="00911C1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911C10" w:rsidRPr="001E4FF7" w:rsidRDefault="00911C1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меньше</w:t>
            </w:r>
          </w:p>
          <w:p w:rsidR="00911C10" w:rsidRPr="001E4FF7" w:rsidRDefault="00911C1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25%</w:t>
            </w:r>
          </w:p>
          <w:p w:rsidR="00911C10" w:rsidRPr="00911C10" w:rsidRDefault="00911C1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54730" w:rsidTr="00954730">
        <w:tc>
          <w:tcPr>
            <w:tcW w:w="1485" w:type="dxa"/>
            <w:vMerge w:val="restart"/>
          </w:tcPr>
          <w:p w:rsidR="00954730" w:rsidRDefault="00954730" w:rsidP="00954730">
            <w:pPr>
              <w:shd w:val="clear" w:color="auto" w:fill="FFFFFF"/>
              <w:ind w:left="-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4730" w:rsidRPr="001E4FF7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</w:t>
            </w:r>
          </w:p>
          <w:p w:rsidR="00954730" w:rsidRDefault="00954730" w:rsidP="00954730">
            <w:pPr>
              <w:ind w:left="-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954730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8" w:type="dxa"/>
          </w:tcPr>
          <w:p w:rsidR="00954730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180" w:type="dxa"/>
          </w:tcPr>
          <w:p w:rsidR="00954730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53" w:type="dxa"/>
          </w:tcPr>
          <w:p w:rsidR="00954730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1570" w:type="dxa"/>
          </w:tcPr>
          <w:p w:rsidR="00954730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</w:tc>
      </w:tr>
      <w:tr w:rsidR="00954730" w:rsidTr="00954730">
        <w:tc>
          <w:tcPr>
            <w:tcW w:w="1485" w:type="dxa"/>
            <w:vMerge/>
          </w:tcPr>
          <w:p w:rsidR="00954730" w:rsidRDefault="00954730" w:rsidP="00954730">
            <w:pPr>
              <w:ind w:left="-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gridSpan w:val="2"/>
          </w:tcPr>
          <w:p w:rsidR="00954730" w:rsidRPr="001E4FF7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Превышающие базовый</w:t>
            </w:r>
          </w:p>
          <w:p w:rsidR="00954730" w:rsidRDefault="0095473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954730" w:rsidRDefault="00954730" w:rsidP="00954730">
            <w:pPr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2"/>
          </w:tcPr>
          <w:p w:rsidR="00954730" w:rsidRPr="001E4FF7" w:rsidRDefault="00954730" w:rsidP="00954730">
            <w:pPr>
              <w:shd w:val="clear" w:color="auto" w:fill="FFFFFF"/>
              <w:ind w:left="-5" w:firstLine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базового</w:t>
            </w:r>
          </w:p>
          <w:p w:rsidR="00954730" w:rsidRDefault="00954730" w:rsidP="00954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E4FF7" w:rsidRPr="001E4FF7" w:rsidRDefault="001E4FF7" w:rsidP="00911C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4.10.</w:t>
      </w:r>
      <w:r w:rsidR="00911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Итоговый результат усвоения предмета определяется в конце учебного года на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 промежуточных результатов изучения отдельных тем программы и итоговой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контрольной работы по предмету.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4.11.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определении уровня развития умений и навыков по чтению необходимо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учитывать: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способ чтения: слоговое плавное чтение с переходом на чтение целыми словами,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насколько происходит осознание общего смысла прочитанного текста;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понимает ли ребенок, что означают отдельные слова и предложения;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соблюдаются ли паузы, отделяющие предложения.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темп чтения:30 слов в минуту (на конец учебного года)</w:t>
      </w:r>
    </w:p>
    <w:p w:rsidR="00954730" w:rsidRDefault="00954730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Ведение документации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5.1</w:t>
      </w:r>
      <w:r w:rsid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Документация учителя: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5.1.1.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каждому предмету составляется рабочая программа на уровень образования,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календарно-тематическое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которое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основой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планирования педагогической деятельности учителя.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5.1.2 Классный журнал является главным документом учителя и заполняется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соответственно программе. Отметки в 1 классе в классный журнал не выставляются.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5.1.3.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того, чтобы правильно оценить работу каждого ученика в конце года,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учитель ведёт систематический учё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достижений результатов, которые прописаны в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программе по каждому учебному предмету.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5.1.4.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более подробного анализа достижений учащихся учитель составляет по-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фамильный анализ диагностических и итоговых работ, в которых указывает ошибки,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допущенные учащимися по каждому виду заданий.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5.1.5.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конце учебного года учитель представляет анализ своей педагогической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деятельности, учитывая следующее: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-динамику развития учащихся за учебный период;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-уровень усвоения учащимися знаний и умений по основным темам;</w:t>
      </w:r>
    </w:p>
    <w:p w:rsidR="00954730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-уровень сформированности основных компонентов учебной деятельности учащихся; 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выполнении программы с указанием успехов и возникших трудностей.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5.2.</w:t>
      </w:r>
      <w:r w:rsidR="00954730" w:rsidRP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Документация обучающихся: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выполнения итоговой контрольной работы вводятся специальные тетради (листы),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 выдаются учащимся для выполнения контрольных работ.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5.3.</w:t>
      </w:r>
      <w:r w:rsid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Администрация школы: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5.3.1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своей деятельности администрация школы использует для анализа все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 материалы учителей и обучающихся (классный журнал, содержательный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проверочных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контрольных работ, тетради учащихся) для создания целостной картины учебно-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воспитательного процесса в начальной школе.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5.3.2.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материалы, получаемые от участников учебного процесса, администрация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классифицирует, используя информационные технологии, с целью определения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динамики в развитии и образовании обучающихся в течение первого класса.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5.3.3.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года на основе получаемых материалов от учителей администрация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анализ работы педагогического коллектива, определяя "проблемные" места,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 и трудности, как обучающихся, так и учителей, и на их основе определяет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стратегические задачи на последующий год обучения.</w:t>
      </w:r>
    </w:p>
    <w:p w:rsidR="00954730" w:rsidRDefault="00954730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Права и обязанности субъектов контрольно-оценочной деятельности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 учителями, обучающимися, их родителями и администрацией школы в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 безотметочного обучения необходимо строить равноправное сотрудничество.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из участников такого сотрудничества имеет право, прежде всего, на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самооценку своей деятельности, на свое особое аргументированное мнение по поводу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одного субъекта деятельности другим.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 и обязанности обучающихся.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6.2.1 .Учащиеся имеют право: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собственную оценку своих достижений и трудностей;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оценку своей работы учителем;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самостоятельный выбор сложности и количества проверочных заданий;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оценку проявления творчества и инициативы во всех сферах школьной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ошибку и время для ее ликвидации;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участие в разработке критериев оценивания своей работы;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предоставление и публичную защиту результатов своей деятельности.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6.2.2.</w:t>
      </w:r>
      <w:r w:rsidR="00954730" w:rsidRP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Обучающиеся обязаны: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возможности проявлять оценочную самостоятельность в учебной работе;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осваивать способы осуществления контроля и оценки;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иметь тетради, в которых отражается контрольно-оценочная деятельность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ученика.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 и обязанности учителя.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6.3.1.</w:t>
      </w:r>
      <w:r w:rsidR="00954730" w:rsidRP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Учитель имеет право: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иметь свое оценочное суждение по поводу работы учащихся;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самостоятельно определять приемлемые для него формы учета учебных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достижений обучающихся.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6.3.2.</w:t>
      </w:r>
      <w:r w:rsidR="00954730" w:rsidRP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Учитель обязан: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-соблюдать основные Положения о безотметочном обучении;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-соблюдать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такт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оценке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-работать над формированием у обучающихся самоконтроля и самооценки;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-оценивать не только знания, умения и навыки по предметам, но также уровень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и степень проявления творчества и инициативы во всех сферах школьной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 с помощью способов качественного оценивания;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-фиксировать динамику развития и </w:t>
      </w:r>
      <w:proofErr w:type="spellStart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ученика только относительно его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собственных возможностей и достижений;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-доводить до сведения родителей достижения и успехи учащихся.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Права и обязанности родителей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6.4.1. Родитель имеет право:</w:t>
      </w:r>
    </w:p>
    <w:p w:rsidR="001E4FF7" w:rsidRPr="001E4FF7" w:rsidRDefault="001E4FF7" w:rsidP="001E4FF7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-иметь информацию о принципах и способах оценивания достижений в школе;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 получение достоверной информацию об успехах и достижениях своего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-получать индивидуальные консультации учителя по преодолению проблем и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трудностей в обучении своего ребенка.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6.4.2.</w:t>
      </w:r>
      <w:r w:rsidR="00954730" w:rsidRPr="00954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Родитель обязан: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-информировать учителя о возможных трудностях и проблемах ребенка, с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которыми родитель сталкивается в домашних условиях;</w:t>
      </w:r>
    </w:p>
    <w:p w:rsidR="001E4FF7" w:rsidRPr="001E4FF7" w:rsidRDefault="001E4FF7" w:rsidP="00954730">
      <w:pPr>
        <w:shd w:val="clear" w:color="auto" w:fill="FFFFFF"/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-посещать родительские собрания, на которых проводится просветительская</w:t>
      </w:r>
      <w:r w:rsidR="00954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по оказанию помощи в образовании их детей.</w:t>
      </w: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1E4FF7"/>
    <w:rsid w:val="002F4248"/>
    <w:rsid w:val="0031148E"/>
    <w:rsid w:val="00693B46"/>
    <w:rsid w:val="006F168C"/>
    <w:rsid w:val="006F7A68"/>
    <w:rsid w:val="00911C10"/>
    <w:rsid w:val="00954730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2025-08-08T13:05:00Z</dcterms:created>
  <dcterms:modified xsi:type="dcterms:W3CDTF">2025-09-13T19:14:00Z</dcterms:modified>
</cp:coreProperties>
</file>