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МИНИСТЕРСТВО ОБРАЗОВАНИЯ И НАУКИ РОССИЙСКОЙ ФЕДЕРАЦИИ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ПИСЬМО</w:t>
        <w:br w:type="textWrapping"/>
        <w:t xml:space="preserve">от 21 октября 2014 г. N АК-3358/08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ОБ УТОЧНЕНИЯХ</w:t>
        <w:br w:type="textWrapping"/>
        <w:t xml:space="preserve">В МЕТОДИЧЕСКИЕ РЕКОМЕНДАЦИИ ПО ВНЕДРЕНИЮ СИСТЕМ ВЕДЕНИЯ</w:t>
        <w:br w:type="textWrapping"/>
        <w:t xml:space="preserve">ЖУРНАЛОВ УСПЕВАЕМОСТИ В ЭЛЕКТРОННОМ ВИДЕ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Во исполнение решения совещания в Администрации Президента Российской Федерации по вопросу использования электронных дневников и электронных журналов успеваемости в образовательных организациях Минобрнауки России вносит уточнение в пункт 4 раздела "Этап проектирования нормативного и регламентационного обеспечения" части 1 "Методические рекомендации" </w:t>
      </w:r>
      <w:hyperlink r:id="rId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b6dfd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письма Минобрнауки России от 15 февраля 2012 г. N АП-147/07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 "О методических рекомендациях по внедрению систем ведения журналов успеваемости в электронном виде". Данный пункт рекомендаций предусматривает организацию работ по исполнению Федерального 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b6dfd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закона от 27 июля 2006 г. N 152-ФЗ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 "О персональных данных" (далее - Закон N 152-ФЗ).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С учетом обновленной терминологии в рамках Федерального 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1b6dfd"/>
            <w:sz w:val="24"/>
            <w:szCs w:val="24"/>
            <w:u w:val="none"/>
            <w:shd w:fill="auto" w:val="clear"/>
            <w:vertAlign w:val="baseline"/>
            <w:rtl w:val="0"/>
          </w:rPr>
          <w:t xml:space="preserve">закона от 29 декабря 2012 г. N 273-ФЗ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 "Об образовании в Российской Федерации" (ст. 28, 30, 44) и закрепления в нем ряда положений данного письма необходимо обратить внимание на особенности мероприятий по защите персональных данных в различных вариантах использования электронных журналов успеваемости.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Электронные журналы, обрабатывающие данные вне образовательной организации, предусматривают необходимость: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- "уведомить уполномоченный орган по защите прав субъектов персональных данных о своем намерении осуществлять обработку персональных данных" (п. 1 ст. 22 Закона N 152-ФЗ) и декларировать изменения "в течение десяти рабочих дней с даты возникновения" (п. 7 ст. 22 Закона N 152-ФЗ), в том числе при смене варианта используемого электронного журнала;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- контролировать возможность трансграничной передачи персональных данных;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- получить и соответствующим образом хранить письменные согласия субъектов на обработку персональных данных, в том числе на передачу их в организацию, обслуживающую внешний электронный журнал;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- обеспечить соответствие целей обработки данных, указанных в согласии на обработку, с целями обработки данных у организации, которой эти данные передаются;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- заключить договор с организацией, обслуживающей электронный журнал, об ответственности за обработку переданных ей персональных данных в соответствии с заявленными целями.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При использовании электронных журналов, обрабатывающих данные внутри образовательной организации, ряд перечисленных выше мероприятий может быть сокращен и (или) облегчен при соответствующей подготовке локальной нормативной базы. Вместе с тем образовательная организация должна обеспечить организационно-технические меры по защите персональных данных, находящихся в ее информационных системах, включая электронный журнал, в соответствии с требованиями закона и инструкций по информационной безопасности.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В обоих случаях необходимо соблюдать условие пункта 1 статьи 9 Закона N 152-ФЗ о том, что согласие на обработку персональных данных дается субъектом с соблюдением его интересов. Если обработка персональных данных субъекта диктуется интересами организации, а не интересами субъекта, то согласие может быть признано ничтожным и аннулировано, а обработка данных - нарушающей требования законодательства. Принципы и условия обработки персональных данных изложены в главе 2 Закона N 152-ФЗ.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Заместитель министра</w:t>
        <w:br w:type="textWrapping"/>
        <w:t xml:space="preserve">А.А.КЛИМОВ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ulaws.ru/acts/Pismo-Minobrnauki-Rossii-ot-15.02.2012-N-AP-147_07/" TargetMode="External"/><Relationship Id="rId7" Type="http://schemas.openxmlformats.org/officeDocument/2006/relationships/hyperlink" Target="https://rulaws.ru/laws/Federalnyy-zakon-ot-27.07.2006-N-152-FZ/" TargetMode="External"/><Relationship Id="rId8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