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087E6" w14:textId="77777777" w:rsidR="00F82D64" w:rsidRDefault="00F82D64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F82D64">
          <w:headerReference w:type="default" r:id="rId7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60"/>
        </w:sectPr>
      </w:pPr>
      <w:bookmarkStart w:id="0" w:name="_Hlk206152087"/>
      <w:bookmarkStart w:id="1" w:name="_GoBack"/>
      <w:bookmarkEnd w:id="1"/>
    </w:p>
    <w:p w14:paraId="402A5606" w14:textId="77777777" w:rsidR="00F82D64" w:rsidRDefault="008D62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14:paraId="33330B5B" w14:textId="77777777" w:rsidR="00F82D64" w:rsidRDefault="00F82D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478078" w14:textId="77777777" w:rsidR="00F82D64" w:rsidRDefault="008D62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бланка для отчета о самообследовании</w:t>
      </w:r>
    </w:p>
    <w:p w14:paraId="7A185056" w14:textId="77777777" w:rsidR="00F82D64" w:rsidRDefault="008D62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об учреждении молодежной политики</w:t>
      </w:r>
    </w:p>
    <w:tbl>
      <w:tblPr>
        <w:tblStyle w:val="14"/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5"/>
        <w:gridCol w:w="5011"/>
      </w:tblGrid>
      <w:tr w:rsidR="00F82D64" w14:paraId="79A310B8" w14:textId="77777777"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EDDCB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Наименование учреждения молодежной политики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соответствии с Уставом</w:t>
            </w:r>
          </w:p>
        </w:tc>
        <w:tc>
          <w:tcPr>
            <w:tcW w:w="5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1F739C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«Городской подростково-молодежный центр» муниципального округа город-курорт Ялта Республики Крым </w:t>
            </w:r>
          </w:p>
        </w:tc>
      </w:tr>
      <w:tr w:rsidR="00F82D64" w14:paraId="100A1445" w14:textId="77777777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55601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 учреждения молодежной политики</w:t>
            </w:r>
          </w:p>
        </w:tc>
        <w:tc>
          <w:tcPr>
            <w:tcW w:w="50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16B9C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298612, РФ, Республика Крым, г. Ялта, ул. Ленинградская д. 14/1 </w:t>
            </w:r>
          </w:p>
        </w:tc>
      </w:tr>
      <w:tr w:rsidR="00F82D64" w14:paraId="4E69250A" w14:textId="77777777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85150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Фактический адрес учреждения молодежной политики</w:t>
            </w:r>
          </w:p>
        </w:tc>
        <w:tc>
          <w:tcPr>
            <w:tcW w:w="50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45762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298612, РФ, Республика Крым, г. Ялта, ул. Ленинградская д. 14/1</w:t>
            </w:r>
          </w:p>
        </w:tc>
      </w:tr>
      <w:tr w:rsidR="00F82D64" w14:paraId="7238BB6D" w14:textId="77777777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BED3B0" w14:textId="77777777" w:rsidR="00F82D64" w:rsidRDefault="008D6208">
            <w:pPr>
              <w:tabs>
                <w:tab w:val="left" w:pos="465"/>
                <w:tab w:val="left" w:pos="316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Телефон, адрес электронной почты учреждения молодежной политики</w:t>
            </w:r>
          </w:p>
        </w:tc>
        <w:tc>
          <w:tcPr>
            <w:tcW w:w="50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CBE5B8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+7(3654)20-5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8-06 gpmc@yalta.rk.gov.ru</w:t>
            </w:r>
          </w:p>
        </w:tc>
      </w:tr>
      <w:tr w:rsidR="00F82D64" w14:paraId="15114864" w14:textId="77777777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7B40E8" w14:textId="77777777" w:rsidR="00F82D64" w:rsidRDefault="008D6208">
            <w:pPr>
              <w:tabs>
                <w:tab w:val="left" w:pos="465"/>
                <w:tab w:val="left" w:pos="316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Интернет-сайт учреждения молодежной политики</w:t>
            </w:r>
          </w:p>
        </w:tc>
        <w:tc>
          <w:tcPr>
            <w:tcW w:w="50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5C4F1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https://gpmc-yalta.ru/</w:t>
            </w:r>
          </w:p>
        </w:tc>
      </w:tr>
      <w:tr w:rsidR="00F82D64" w14:paraId="4EADB560" w14:textId="77777777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2DAF3" w14:textId="77777777" w:rsidR="00F82D64" w:rsidRDefault="008D6208">
            <w:pPr>
              <w:tabs>
                <w:tab w:val="left" w:pos="465"/>
                <w:tab w:val="left" w:pos="316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Ссылки на социальные сети учреждения молодежной политики</w:t>
            </w:r>
          </w:p>
        </w:tc>
        <w:tc>
          <w:tcPr>
            <w:tcW w:w="50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668614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8" w:history="1">
              <w:r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https://vk.com/gpmc_yalta</w:t>
              </w:r>
            </w:hyperlink>
          </w:p>
          <w:p w14:paraId="19327307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hyperlink r:id="rId9" w:history="1">
              <w:r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eastAsia="ru-RU"/>
                </w:rPr>
                <w:t>https://vk.com/cds.prostranstvo</w:t>
              </w:r>
            </w:hyperlink>
          </w:p>
          <w:p w14:paraId="3F738B24" w14:textId="77777777" w:rsidR="00F82D64" w:rsidRDefault="00F82D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82D64" w14:paraId="30A6D227" w14:textId="77777777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1400C8" w14:textId="77777777" w:rsidR="00F82D64" w:rsidRDefault="008D6208">
            <w:pPr>
              <w:tabs>
                <w:tab w:val="left" w:pos="465"/>
                <w:tab w:val="left" w:pos="3463"/>
                <w:tab w:val="left" w:pos="316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Учредитель учреждения молодежной политики</w:t>
            </w:r>
          </w:p>
        </w:tc>
        <w:tc>
          <w:tcPr>
            <w:tcW w:w="50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6F01DA" w14:textId="77777777" w:rsidR="00F82D64" w:rsidRDefault="008D6208">
            <w:pPr>
              <w:spacing w:after="0" w:line="240" w:lineRule="auto"/>
              <w:ind w:right="12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Функции и полномочия учредителя Учреждения от имени муниципального округа город-курорт Ялта Республики Крым осуществляет Администрац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ия города Ялта Республики Крым в лице Департамента образования и молодежной политики Администрации города Ялта Республики Крым</w:t>
            </w:r>
          </w:p>
        </w:tc>
      </w:tr>
      <w:tr w:rsidR="00F82D64" w14:paraId="283F42CB" w14:textId="77777777">
        <w:tc>
          <w:tcPr>
            <w:tcW w:w="478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D8E05D" w14:textId="77777777" w:rsidR="00F82D64" w:rsidRDefault="008D6208">
            <w:pPr>
              <w:tabs>
                <w:tab w:val="left" w:pos="465"/>
                <w:tab w:val="left" w:pos="316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Руководитель учреждения молодежной политики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(должность, ФИО)</w:t>
            </w:r>
          </w:p>
        </w:tc>
        <w:tc>
          <w:tcPr>
            <w:tcW w:w="501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23FA1F" w14:textId="77777777" w:rsidR="00F82D64" w:rsidRDefault="008D62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Директор МБУ «ГПМЦ»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Башкова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Ксения Георгиевна </w:t>
            </w:r>
          </w:p>
        </w:tc>
      </w:tr>
      <w:bookmarkEnd w:id="0"/>
    </w:tbl>
    <w:p w14:paraId="1DF21CD2" w14:textId="77777777" w:rsidR="00F82D64" w:rsidRDefault="00F82D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486B2B" w14:textId="77777777" w:rsidR="00F82D64" w:rsidRDefault="008D6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часть</w:t>
      </w:r>
    </w:p>
    <w:p w14:paraId="31444A61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E64B86" w14:textId="77777777" w:rsidR="00F82D64" w:rsidRDefault="008D62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Инфраструктура учреждения молодежной политики</w:t>
      </w:r>
    </w:p>
    <w:p w14:paraId="54EC16D1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F82D64" w14:paraId="5BA619C2" w14:textId="77777777">
        <w:tc>
          <w:tcPr>
            <w:tcW w:w="4819" w:type="dxa"/>
          </w:tcPr>
          <w:p w14:paraId="0034202E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Соответствие материально-технического обеспечения учреждения молодежной политики категории и виду, специфике деятельности учреждения, требованиям существующих методических рекоменд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аций.</w:t>
            </w:r>
          </w:p>
        </w:tc>
        <w:tc>
          <w:tcPr>
            <w:tcW w:w="4526" w:type="dxa"/>
          </w:tcPr>
          <w:p w14:paraId="6AC3266D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материально-технической базы МБУ «Городской подростково-молодежный центр» показал, что оснащение учреждения в основном соответствует категории и специфике работы с подростками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молодежью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Общий процент соответствия МТБ: 73 %.</w:t>
            </w:r>
          </w:p>
        </w:tc>
      </w:tr>
      <w:tr w:rsidR="00F82D64" w14:paraId="2DEBE6EB" w14:textId="77777777">
        <w:tc>
          <w:tcPr>
            <w:tcW w:w="4819" w:type="dxa"/>
          </w:tcPr>
          <w:p w14:paraId="0E3720DD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информационного обеспечения учреждения молодежной политики требованиям существующих методических рекомендаций.</w:t>
            </w:r>
          </w:p>
          <w:p w14:paraId="73F47BA6" w14:textId="77777777" w:rsidR="00F82D64" w:rsidRDefault="00F8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</w:tcPr>
          <w:p w14:paraId="05388672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информационного обеспечения МБУ «Городской подростково-молодежный центр» показал, что аппаратно-техническая база в основном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требованиям. Сайт учреждения содержит необходимые разделы и отчетные документы. Регулярно ведется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госпаблик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официальная страница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активно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ведется  группа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ВК одного структурного подразделения ЦДС «Пространство», ведется 2 ТГ канала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8A6FB2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процент соответствия информационного обеспечения требованиям методических рекомендаций: 85 %</w:t>
            </w:r>
          </w:p>
        </w:tc>
      </w:tr>
      <w:tr w:rsidR="00F82D64" w14:paraId="2D7A5F24" w14:textId="77777777">
        <w:tc>
          <w:tcPr>
            <w:tcW w:w="4819" w:type="dxa"/>
          </w:tcPr>
          <w:p w14:paraId="4E068463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 Соответствие оформления помещений (пространств) учреждения молодежной политики требованиям существующих методических рекомендаций.</w:t>
            </w:r>
          </w:p>
        </w:tc>
        <w:tc>
          <w:tcPr>
            <w:tcW w:w="4526" w:type="dxa"/>
          </w:tcPr>
          <w:p w14:paraId="6B119A96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оформления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МБУ «Городской подростково-молодежный центр» на соответствие методическим рекомендациям по организации молодежных пространств показал:</w:t>
            </w:r>
          </w:p>
          <w:p w14:paraId="1D64576B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Учреждением осуществляется деятельность в 10 помещениях, находящихся в разных частях города, среди них есть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ещения, соответствующие современным требованиям, а также помещения, требующие модернизации. Общий процент соответствия: 51 %.</w:t>
            </w:r>
          </w:p>
        </w:tc>
      </w:tr>
      <w:tr w:rsidR="00F82D64" w14:paraId="4F2A0D6D" w14:textId="77777777">
        <w:tc>
          <w:tcPr>
            <w:tcW w:w="4819" w:type="dxa"/>
          </w:tcPr>
          <w:p w14:paraId="4AA0B58E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 Наличие условий для беспрепятственного доступа лиц с особыми потребностями к объектам и услугам учреждения молодежной полити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  <w:tc>
          <w:tcPr>
            <w:tcW w:w="4526" w:type="dxa"/>
          </w:tcPr>
          <w:p w14:paraId="1261DB63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показал, что в учреждении необходимо создать условия для беспрепятственного доступа лиц с особыми потребностями к объектам и услугам. Общий процент соответствия: 30 %.</w:t>
            </w:r>
          </w:p>
        </w:tc>
      </w:tr>
    </w:tbl>
    <w:p w14:paraId="1B51EBBC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CD5CAC" w14:textId="77777777" w:rsidR="00F82D64" w:rsidRDefault="008D62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Сервисы, предоставляемые учреждением молодежной политики</w:t>
      </w:r>
    </w:p>
    <w:p w14:paraId="5168F000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F82D64" w14:paraId="2C95E494" w14:textId="77777777">
        <w:tc>
          <w:tcPr>
            <w:tcW w:w="4815" w:type="dxa"/>
          </w:tcPr>
          <w:p w14:paraId="41CC0EB6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Функциональная полнота сервисов, предоставляемых учреждением молодежной политики.</w:t>
            </w:r>
          </w:p>
        </w:tc>
        <w:tc>
          <w:tcPr>
            <w:tcW w:w="4530" w:type="dxa"/>
          </w:tcPr>
          <w:p w14:paraId="4C5D265F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Главным документом этого анализа является муниципальное задание, показатели которого учреждением выполняются. В показателе «количество посещений» есть отклонение в 4,6 %,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превышает установленные в муниципальном задании 10%.  Общий процент соответствия: 95,4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</w:tr>
      <w:tr w:rsidR="00F82D64" w14:paraId="443BECF4" w14:textId="77777777">
        <w:tc>
          <w:tcPr>
            <w:tcW w:w="4815" w:type="dxa"/>
          </w:tcPr>
          <w:p w14:paraId="0D6EC1FC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Соответствие условий предоставления сервисов учреждением молодежной политики требованиям существующих методических рекомендаций.</w:t>
            </w:r>
          </w:p>
        </w:tc>
        <w:tc>
          <w:tcPr>
            <w:tcW w:w="4530" w:type="dxa"/>
          </w:tcPr>
          <w:p w14:paraId="6D148735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условий предоставл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сервисов МБУ «Городской подростково-молодежный центр» показал, что в целом соответствует требованиям:</w:t>
            </w:r>
          </w:p>
          <w:p w14:paraId="4793F1F7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Режим работы удобен для молодежи (включая вечер и выходные).</w:t>
            </w:r>
          </w:p>
          <w:p w14:paraId="11B6785C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Имеется онлайн-запись через сайт и соцсети.</w:t>
            </w:r>
          </w:p>
          <w:p w14:paraId="20341CEB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Помещения чистые, температура и освеще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в норме.</w:t>
            </w:r>
          </w:p>
          <w:p w14:paraId="0A461F64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Сотрудники доброжелательны и компетентны.</w:t>
            </w:r>
          </w:p>
          <w:p w14:paraId="3F2F05C3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Онлайн-каналы обратной связи работают, обращения рассматриваются в срок. </w:t>
            </w:r>
          </w:p>
          <w:p w14:paraId="09FCD9CB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процент соответствия условий: 95 %</w:t>
            </w:r>
          </w:p>
        </w:tc>
      </w:tr>
    </w:tbl>
    <w:p w14:paraId="49FE2CEC" w14:textId="77777777" w:rsidR="00F82D64" w:rsidRDefault="00F82D6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70E433C" w14:textId="77777777" w:rsidR="00F82D64" w:rsidRDefault="008D6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Платные услуги, предоставляемые учреждением молодежной политики</w:t>
      </w:r>
    </w:p>
    <w:p w14:paraId="3936250C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F82D64" w14:paraId="2F10AF24" w14:textId="77777777">
        <w:tc>
          <w:tcPr>
            <w:tcW w:w="4815" w:type="dxa"/>
          </w:tcPr>
          <w:p w14:paraId="6D380570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 Наличие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платных услуг, предоставляемых учреждением молодежной политики.</w:t>
            </w:r>
          </w:p>
        </w:tc>
        <w:tc>
          <w:tcPr>
            <w:tcW w:w="4530" w:type="dxa"/>
          </w:tcPr>
          <w:p w14:paraId="19358FDA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практики предоставления платных услуг МБУ «Городской подростково-молодежный центр» в форме передачи помещений в аренду НКО, реализующим молодежную политику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 Соответствует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требованиям:</w:t>
            </w:r>
          </w:p>
          <w:p w14:paraId="36DC62E8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Арендаторами выступают социально ориентированные НКО.</w:t>
            </w:r>
          </w:p>
          <w:p w14:paraId="3FCB2769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• Деятельность НКО соответствует приоритетным направлениям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политики.</w:t>
            </w:r>
          </w:p>
          <w:p w14:paraId="6FB3CBC5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Договоры аренды содержат запрет на нецелевое использование помещений.</w:t>
            </w:r>
          </w:p>
          <w:p w14:paraId="5F9D4298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 Общий процент соответствия требов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аниям: 100 %</w:t>
            </w:r>
          </w:p>
        </w:tc>
      </w:tr>
      <w:tr w:rsidR="00F82D64" w14:paraId="2FE4F13C" w14:textId="77777777">
        <w:tc>
          <w:tcPr>
            <w:tcW w:w="4815" w:type="dxa"/>
          </w:tcPr>
          <w:p w14:paraId="2E1BBD77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3.2. Соответствие условий предоставления платных услуг учреждением молодежной политики требованиям действующего законодательства РФ.</w:t>
            </w:r>
          </w:p>
        </w:tc>
        <w:tc>
          <w:tcPr>
            <w:tcW w:w="4530" w:type="dxa"/>
          </w:tcPr>
          <w:p w14:paraId="79403959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Платные услуги осуществляются на основании Постановления Администрации города, в соответствии с действующим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аконодательством. </w:t>
            </w:r>
          </w:p>
        </w:tc>
      </w:tr>
    </w:tbl>
    <w:p w14:paraId="7D0765D5" w14:textId="77777777" w:rsidR="00F82D64" w:rsidRDefault="00F82D64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FDA90D2" w14:textId="77777777" w:rsidR="00F82D64" w:rsidRDefault="008D62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Кадровый потенциал учреждения молодежной политики</w:t>
      </w:r>
    </w:p>
    <w:p w14:paraId="1EF28642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F82D64" w14:paraId="0A9861B9" w14:textId="77777777">
        <w:tc>
          <w:tcPr>
            <w:tcW w:w="4815" w:type="dxa"/>
          </w:tcPr>
          <w:p w14:paraId="59154DC5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 Соответствие уровня образования сотрудников учреждения молодежной политики требованиям профессионального стандарта «Специалист по работе с молодежью».</w:t>
            </w:r>
          </w:p>
        </w:tc>
        <w:tc>
          <w:tcPr>
            <w:tcW w:w="4530" w:type="dxa"/>
          </w:tcPr>
          <w:p w14:paraId="21555676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соответствия уровня образования сотрудников МБУ «Городской подростково-молодежный центр» проведен с учетом следующих обстоятельств:</w:t>
            </w:r>
          </w:p>
          <w:p w14:paraId="61E2A2D0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В учреждении отсутствуют должности с наименованием «специалист по работе с молодежью» (в точном соответствии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профстандар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4E8CFD5F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Должности, включенные в штатное расписание, сформированы в соответствии с ОКВЭД 90.04.3 учреждения и относятся преимущественно к сфере культурно-досуговой деятельности (руководитель клубного формирования,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методист и пр.).</w:t>
            </w:r>
          </w:p>
          <w:p w14:paraId="11E1105D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Урове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образования сотрудников в основном соответствует требованиям Единого квалификационного справочника должностей работников культуры и ЕКС по делам молодежи.</w:t>
            </w:r>
          </w:p>
          <w:p w14:paraId="023D7404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Вывод: Учреждение осуществляет деятельность в рамках установленного ОКВЭД 90.04.3. В связи с этим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применение профессионального стандарта «Специалист по работе с молодежью» в полном объеме не требуется. </w:t>
            </w:r>
          </w:p>
        </w:tc>
      </w:tr>
      <w:tr w:rsidR="00F82D64" w14:paraId="17FBACC2" w14:textId="77777777">
        <w:tc>
          <w:tcPr>
            <w:tcW w:w="4815" w:type="dxa"/>
          </w:tcPr>
          <w:p w14:paraId="12E9A664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Соответствие профессиональных компетенций, необходимых умений и знаний сотрудников учреждения молодежной политики требованиям профес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сионального стандарта «Специалист по работе с молодежью».</w:t>
            </w:r>
          </w:p>
        </w:tc>
        <w:tc>
          <w:tcPr>
            <w:tcW w:w="4530" w:type="dxa"/>
          </w:tcPr>
          <w:p w14:paraId="28A10CEF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соответствия:</w:t>
            </w:r>
          </w:p>
          <w:p w14:paraId="4579E369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По формальному критерию (наличие должностей, подпадающих под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профстандарт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): 0% (такие должности отсутствуют).</w:t>
            </w:r>
          </w:p>
          <w:p w14:paraId="70160646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По фактическому содержанию работы: сотрудники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выполняют функции по работе с молодежью)</w:t>
            </w:r>
          </w:p>
        </w:tc>
      </w:tr>
      <w:tr w:rsidR="00F82D64" w14:paraId="1AA0E201" w14:textId="77777777">
        <w:tc>
          <w:tcPr>
            <w:tcW w:w="4815" w:type="dxa"/>
          </w:tcPr>
          <w:p w14:paraId="2D1F55BC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 Наличие внутренней системы профессионального развития сотрудников учреждения молодежной политики.</w:t>
            </w:r>
          </w:p>
        </w:tc>
        <w:tc>
          <w:tcPr>
            <w:tcW w:w="4530" w:type="dxa"/>
          </w:tcPr>
          <w:p w14:paraId="2628DD2C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наличия внутренней системы профессионального развития сотрудников МБУ «Городской подростково-молодежный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центр» показал, что </w:t>
            </w:r>
          </w:p>
          <w:p w14:paraId="08B9AC97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Ежегодно составляется план повышения квалификации.</w:t>
            </w:r>
          </w:p>
          <w:p w14:paraId="561EDAE5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Проводятся методические объединения (1 раз в квартал).</w:t>
            </w:r>
          </w:p>
          <w:p w14:paraId="78C06C50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Регулярно проходит аттестация сотрудников в установленном порядке.</w:t>
            </w:r>
          </w:p>
          <w:p w14:paraId="09083333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Установлены стимулирующие надбавки за квалификацию (ка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тегорию).</w:t>
            </w:r>
          </w:p>
        </w:tc>
      </w:tr>
      <w:tr w:rsidR="00F82D64" w14:paraId="6749E6BA" w14:textId="77777777">
        <w:tc>
          <w:tcPr>
            <w:tcW w:w="4815" w:type="dxa"/>
          </w:tcPr>
          <w:p w14:paraId="290AF5DD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 Наличие участия сотрудников учреждения молодежной политики в конференциях, форумах, симпозиумах по тематике организации работы с молодежью / молодежной политики.</w:t>
            </w:r>
          </w:p>
        </w:tc>
        <w:tc>
          <w:tcPr>
            <w:tcW w:w="4530" w:type="dxa"/>
          </w:tcPr>
          <w:p w14:paraId="2486ED4A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F82D64" w14:paraId="5D7CA585" w14:textId="77777777">
        <w:tc>
          <w:tcPr>
            <w:tcW w:w="4815" w:type="dxa"/>
          </w:tcPr>
          <w:p w14:paraId="19256C47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Наличие публикаций сотрудников учреждения молодежной политик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в методических журналах, тезисах сборников выступлений участников научно-практических конференций и др.</w:t>
            </w:r>
          </w:p>
        </w:tc>
        <w:tc>
          <w:tcPr>
            <w:tcW w:w="4530" w:type="dxa"/>
          </w:tcPr>
          <w:p w14:paraId="4BB79930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F82D64" w14:paraId="5C36C32E" w14:textId="77777777">
        <w:tc>
          <w:tcPr>
            <w:tcW w:w="4815" w:type="dxa"/>
          </w:tcPr>
          <w:p w14:paraId="11E6CC6A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4.6. Специфика психологических процессов сотрудников учреждения молодежной политики (профессиональная мотивация, отсутствие/наличие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ссионального выгорания, отсутствие/наличие дефицитов коммуникации).</w:t>
            </w:r>
          </w:p>
        </w:tc>
        <w:tc>
          <w:tcPr>
            <w:tcW w:w="4530" w:type="dxa"/>
          </w:tcPr>
          <w:p w14:paraId="5E3CC3F7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Мотивация поддерживается, но наблюдается эмоциональное истощение у части сотрудников (стаж свыше 5 лет). Требуется внедрение программ профилактики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выгорания. Коммуникация конструктивная.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оответствие среднее 75%</w:t>
            </w:r>
          </w:p>
        </w:tc>
      </w:tr>
      <w:tr w:rsidR="00F82D64" w14:paraId="2D8400DB" w14:textId="77777777">
        <w:tc>
          <w:tcPr>
            <w:tcW w:w="4815" w:type="dxa"/>
          </w:tcPr>
          <w:p w14:paraId="3BEA9D7E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4.7. Наличие мотивационной программы трудового коллектива учреждения молодежной политики.</w:t>
            </w:r>
          </w:p>
        </w:tc>
        <w:tc>
          <w:tcPr>
            <w:tcW w:w="4530" w:type="dxa"/>
          </w:tcPr>
          <w:p w14:paraId="32A8C630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наличия мотивационной программы для трудового коллектива МБУ «Городской подростково-молодежный центр» показал следующее.</w:t>
            </w:r>
          </w:p>
          <w:p w14:paraId="0FC7E9FF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В учреждени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утверждено Положение об оплате труда 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о распределении и назначении стимулирующих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выплат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предусматривающие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стимулирующие выплаты.</w:t>
            </w:r>
          </w:p>
          <w:p w14:paraId="036884DA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Регулярно выплачиваются премии по итогам работы (месяц/год).</w:t>
            </w:r>
          </w:p>
          <w:p w14:paraId="5BBD4EEC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Функционирует система награждения грамотами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благодарностями.</w:t>
            </w:r>
          </w:p>
          <w:p w14:paraId="0889A8A0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Проводятся корпоративные мероприятия и выезды для сплочения коллектива.</w:t>
            </w:r>
          </w:p>
          <w:p w14:paraId="2416C364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Оказывается материальная помощь сотрудникам в трудной жизненной ситуации.</w:t>
            </w:r>
          </w:p>
          <w:p w14:paraId="18528ED3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Оказывается материальная помощь на оздоровление.</w:t>
            </w:r>
          </w:p>
          <w:p w14:paraId="323DF0AC" w14:textId="77777777" w:rsidR="00F82D64" w:rsidRDefault="00F8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6BCEC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требует улучшения: большинство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лжностных окладов значительно ниже МРОТ, что приводит к ситуации доведения до МРОТ путем стимулирующих выплат. </w:t>
            </w:r>
          </w:p>
          <w:p w14:paraId="6DCA5351" w14:textId="77777777" w:rsidR="00F82D64" w:rsidRDefault="00F8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B435D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процент соответствия: 75 % (уровень — средний).</w:t>
            </w:r>
          </w:p>
        </w:tc>
      </w:tr>
    </w:tbl>
    <w:p w14:paraId="3C21A2A2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8E8DB" w14:textId="77777777" w:rsidR="00F82D64" w:rsidRDefault="008D62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Методическая оснащенность учреждения молодежной политики</w:t>
      </w:r>
    </w:p>
    <w:p w14:paraId="60BA08C0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F82D64" w14:paraId="10FDF662" w14:textId="77777777">
        <w:tc>
          <w:tcPr>
            <w:tcW w:w="4815" w:type="dxa"/>
          </w:tcPr>
          <w:p w14:paraId="5BEE9CDE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методического кабинета / методической службы в учреждении молодежной политики.</w:t>
            </w:r>
          </w:p>
        </w:tc>
        <w:tc>
          <w:tcPr>
            <w:tcW w:w="4530" w:type="dxa"/>
          </w:tcPr>
          <w:p w14:paraId="6C04D8CC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штатным расписанием учреждения предусмотрена ставка методиста, в должностные обязанности которого входит аналитическая работа,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разработка программ клубных формирований, участие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разработке сценариев, концепций мероприятий.</w:t>
            </w:r>
          </w:p>
        </w:tc>
      </w:tr>
      <w:tr w:rsidR="00F82D64" w14:paraId="641D031E" w14:textId="77777777">
        <w:tc>
          <w:tcPr>
            <w:tcW w:w="4815" w:type="dxa"/>
          </w:tcPr>
          <w:p w14:paraId="79E1D335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5.2. Соответствие методического обеспечения учреждения молодежной политики категории и виду, специфике деятельности учреждения.</w:t>
            </w:r>
          </w:p>
        </w:tc>
        <w:tc>
          <w:tcPr>
            <w:tcW w:w="4530" w:type="dxa"/>
          </w:tcPr>
          <w:p w14:paraId="67708EA3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методическое обеспечение соответствует специфике деятельности учреждения. </w:t>
            </w:r>
          </w:p>
        </w:tc>
      </w:tr>
      <w:tr w:rsidR="00F82D64" w14:paraId="3D69A3E1" w14:textId="77777777">
        <w:tc>
          <w:tcPr>
            <w:tcW w:w="4815" w:type="dxa"/>
          </w:tcPr>
          <w:p w14:paraId="480D720F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Наличие авторских программ, моделей, сценариев мероприятий, разработанных сотрудниками учреждения молодежной политики.</w:t>
            </w:r>
          </w:p>
        </w:tc>
        <w:tc>
          <w:tcPr>
            <w:tcW w:w="4530" w:type="dxa"/>
          </w:tcPr>
          <w:p w14:paraId="46DD9353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учреждении есть база авторских программ, сценариев и положений и мероприятиях, разработанных сотрудниками учреждения.</w:t>
            </w:r>
          </w:p>
        </w:tc>
      </w:tr>
    </w:tbl>
    <w:p w14:paraId="18C0C894" w14:textId="77777777" w:rsidR="00F82D64" w:rsidRDefault="008D62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Системная включенность молодежи в деятельность учреждения молодежной политики</w:t>
      </w:r>
    </w:p>
    <w:p w14:paraId="36DBA770" w14:textId="77777777" w:rsidR="00F82D64" w:rsidRDefault="00F82D64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F82D64" w14:paraId="22EB9B87" w14:textId="77777777">
        <w:tc>
          <w:tcPr>
            <w:tcW w:w="4819" w:type="dxa"/>
          </w:tcPr>
          <w:p w14:paraId="23B34D14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 Доля молодых людей, задействованных в мероприятиях и проектах, постоянно действующих форматах учреждения молодежной политики от 2-х раз и более (регулярно, на постоянной 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нове).</w:t>
            </w:r>
          </w:p>
        </w:tc>
        <w:tc>
          <w:tcPr>
            <w:tcW w:w="4526" w:type="dxa"/>
          </w:tcPr>
          <w:p w14:paraId="30A0C67E" w14:textId="77777777" w:rsidR="00F82D64" w:rsidRDefault="008D6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молодых людей, задействованных в мероприятиях и проектах, постоянно действующих форматах учреждения составляет 50 %</w:t>
            </w:r>
          </w:p>
        </w:tc>
      </w:tr>
      <w:tr w:rsidR="00F82D64" w14:paraId="5DA64D8C" w14:textId="77777777">
        <w:tc>
          <w:tcPr>
            <w:tcW w:w="4819" w:type="dxa"/>
          </w:tcPr>
          <w:p w14:paraId="43BA5605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 Наличие достижений международного / всероссийского / регионального уровня у молодежи, посещающей учреждение молодежной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итики (победы в грантовых конкурсах, награды за призовые места в соревнованиях, творческих фестивалях и т. д.).</w:t>
            </w:r>
          </w:p>
        </w:tc>
        <w:tc>
          <w:tcPr>
            <w:tcW w:w="4526" w:type="dxa"/>
          </w:tcPr>
          <w:p w14:paraId="5E82DEB2" w14:textId="77777777" w:rsidR="00F82D64" w:rsidRDefault="008D62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многих Клубных формирований учреждения на регулярной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основе  принимают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соревнованиях, фестивалях и конкурсах различного уров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ня, занимая призовые места. </w:t>
            </w:r>
          </w:p>
        </w:tc>
      </w:tr>
    </w:tbl>
    <w:p w14:paraId="4FF9C980" w14:textId="77777777" w:rsidR="00F82D64" w:rsidRDefault="00F82D6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CB424F1" w14:textId="77777777" w:rsidR="00F82D64" w:rsidRDefault="008D6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Востребованность проектов, реализуемых учреждением молодежной политики, у молодежной аудитории</w:t>
      </w:r>
    </w:p>
    <w:p w14:paraId="65FA0B8A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F82D64" w14:paraId="46FA34F5" w14:textId="77777777">
        <w:trPr>
          <w:trHeight w:val="1280"/>
        </w:trPr>
        <w:tc>
          <w:tcPr>
            <w:tcW w:w="4819" w:type="dxa"/>
          </w:tcPr>
          <w:p w14:paraId="44998CBE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7.1. Уровень информационного сопровождения мероприятий и проектов, событий, проводимых учреждением молодежной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политики.</w:t>
            </w:r>
          </w:p>
        </w:tc>
        <w:tc>
          <w:tcPr>
            <w:tcW w:w="4526" w:type="dxa"/>
          </w:tcPr>
          <w:p w14:paraId="51B9262C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информационного сопровождения средний. Регулярное ведение социальных сетей обеспечивает актуальность новостей. Основной зоной роста является качество визуального оформления (афиши), качественные фото и оперативность выхода постов-релизов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(более 24 часов после события)</w:t>
            </w:r>
          </w:p>
        </w:tc>
      </w:tr>
      <w:tr w:rsidR="00F82D64" w14:paraId="5B9CE552" w14:textId="77777777">
        <w:tc>
          <w:tcPr>
            <w:tcW w:w="4819" w:type="dxa"/>
          </w:tcPr>
          <w:p w14:paraId="07CE8615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7.2. Наличие у молодежи спроса на мероприятия и проекты, события, проводимые учреждением молодежной политики.</w:t>
            </w:r>
          </w:p>
        </w:tc>
        <w:tc>
          <w:tcPr>
            <w:tcW w:w="4526" w:type="dxa"/>
          </w:tcPr>
          <w:p w14:paraId="18FA7666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молодежи Ялты в 2025 году наиболее перспективными были форматы, где есть движение, соревнование, творчество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социальное взаимодействие: спорт, танцы, квесты,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мастер-классы,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фестивали и уличные события. Слабее были востребованы форматы, где молодежь остается только зрителем, без возможности влиять на ход события (пассивные лекции, беседы, концерты).</w:t>
            </w:r>
          </w:p>
        </w:tc>
      </w:tr>
    </w:tbl>
    <w:p w14:paraId="2D165275" w14:textId="77777777" w:rsidR="00F82D64" w:rsidRDefault="00F82D64">
      <w:pPr>
        <w:spacing w:after="0" w:line="276" w:lineRule="auto"/>
        <w:jc w:val="center"/>
      </w:pPr>
    </w:p>
    <w:p w14:paraId="4C6619E9" w14:textId="77777777" w:rsidR="00F82D64" w:rsidRDefault="008D6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Молодежные сообщества, функционирующие на базе учреждения молодежной политики</w:t>
      </w:r>
    </w:p>
    <w:p w14:paraId="03FCDD75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ayout w:type="fixed"/>
        <w:tblLook w:val="04A0" w:firstRow="1" w:lastRow="0" w:firstColumn="1" w:lastColumn="0" w:noHBand="0" w:noVBand="1"/>
      </w:tblPr>
      <w:tblGrid>
        <w:gridCol w:w="4819"/>
        <w:gridCol w:w="4526"/>
      </w:tblGrid>
      <w:tr w:rsidR="00F82D64" w14:paraId="590A1580" w14:textId="77777777">
        <w:tc>
          <w:tcPr>
            <w:tcW w:w="4819" w:type="dxa"/>
          </w:tcPr>
          <w:p w14:paraId="16C894DE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 Наличие и специфика деятельности молодежных сообществ на базе учреждения</w:t>
            </w:r>
          </w:p>
        </w:tc>
        <w:tc>
          <w:tcPr>
            <w:tcW w:w="4526" w:type="dxa"/>
          </w:tcPr>
          <w:p w14:paraId="2803C771" w14:textId="77777777" w:rsidR="00F82D64" w:rsidRDefault="00F82D64">
            <w:pPr>
              <w:spacing w:after="0" w:line="240" w:lineRule="auto"/>
              <w:jc w:val="both"/>
            </w:pPr>
          </w:p>
          <w:p w14:paraId="3406F5C5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учреждения действуют молодежные сообщества: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ЛО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Лига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приключенцев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ЛО  «Чистая Ялта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(экологическое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ЛО брейк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«Южная жизнь»  </w:t>
            </w:r>
          </w:p>
          <w:p w14:paraId="0A0F577E" w14:textId="77777777" w:rsidR="00F82D64" w:rsidRDefault="00F82D64">
            <w:pPr>
              <w:spacing w:after="0" w:line="240" w:lineRule="auto"/>
              <w:jc w:val="both"/>
            </w:pPr>
          </w:p>
          <w:p w14:paraId="099C36D9" w14:textId="77777777" w:rsidR="00F82D64" w:rsidRDefault="00F82D64">
            <w:pPr>
              <w:spacing w:after="0" w:line="240" w:lineRule="auto"/>
              <w:jc w:val="both"/>
            </w:pPr>
          </w:p>
          <w:p w14:paraId="48F0CD8A" w14:textId="77777777" w:rsidR="00F82D64" w:rsidRDefault="00F82D64">
            <w:pPr>
              <w:spacing w:after="0" w:line="240" w:lineRule="auto"/>
              <w:jc w:val="both"/>
            </w:pPr>
          </w:p>
        </w:tc>
      </w:tr>
      <w:tr w:rsidR="00F82D64" w14:paraId="378CB089" w14:textId="77777777">
        <w:tc>
          <w:tcPr>
            <w:tcW w:w="4819" w:type="dxa"/>
          </w:tcPr>
          <w:p w14:paraId="72E7BEB1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 Наличие молодежных сообществ на базе учреждения, функционирующих как отделения / воспитывающие пространства общероссийских движений, организаций и федеральных проектов.</w:t>
            </w:r>
          </w:p>
        </w:tc>
        <w:tc>
          <w:tcPr>
            <w:tcW w:w="4526" w:type="dxa"/>
          </w:tcPr>
          <w:p w14:paraId="3F8B7B6B" w14:textId="77777777" w:rsidR="00F82D64" w:rsidRDefault="00F82D64">
            <w:pPr>
              <w:spacing w:after="0" w:line="240" w:lineRule="auto"/>
              <w:jc w:val="both"/>
            </w:pPr>
          </w:p>
          <w:p w14:paraId="650AA018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базе учреждения действует волонтерский штаб </w:t>
            </w:r>
            <w:r w:rsidRPr="001A4884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МЫВМЕСТЕ</w:t>
            </w:r>
          </w:p>
          <w:p w14:paraId="63ACABF5" w14:textId="77777777" w:rsidR="00F82D64" w:rsidRDefault="00F82D64">
            <w:pPr>
              <w:spacing w:after="0" w:line="240" w:lineRule="auto"/>
              <w:jc w:val="both"/>
            </w:pPr>
          </w:p>
          <w:p w14:paraId="724DBDC7" w14:textId="77777777" w:rsidR="00F82D64" w:rsidRDefault="00F82D64">
            <w:pPr>
              <w:spacing w:after="0" w:line="240" w:lineRule="auto"/>
              <w:jc w:val="both"/>
            </w:pPr>
          </w:p>
          <w:p w14:paraId="2B766B16" w14:textId="77777777" w:rsidR="00F82D64" w:rsidRDefault="00F82D64">
            <w:pPr>
              <w:spacing w:after="0" w:line="240" w:lineRule="auto"/>
              <w:jc w:val="both"/>
            </w:pPr>
          </w:p>
          <w:p w14:paraId="78F70521" w14:textId="77777777" w:rsidR="00F82D64" w:rsidRDefault="00F82D64">
            <w:pPr>
              <w:spacing w:after="0" w:line="240" w:lineRule="auto"/>
              <w:jc w:val="both"/>
            </w:pPr>
          </w:p>
        </w:tc>
      </w:tr>
    </w:tbl>
    <w:p w14:paraId="2B5D40D4" w14:textId="77777777" w:rsidR="00F82D64" w:rsidRDefault="008D6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Поддержка молодежных инициатив </w:t>
      </w:r>
    </w:p>
    <w:p w14:paraId="338CBC50" w14:textId="77777777" w:rsidR="00F82D64" w:rsidRDefault="008D62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учреждением молодежной политики</w:t>
      </w:r>
    </w:p>
    <w:p w14:paraId="392124DA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F82D64" w14:paraId="453C8762" w14:textId="77777777">
        <w:tc>
          <w:tcPr>
            <w:tcW w:w="4815" w:type="dxa"/>
          </w:tcPr>
          <w:p w14:paraId="478F863A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9.1. Наличие и динамика ежегодных обновлений плана мероприятий учреждения молодежной политики в связи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поддержанными молодежными инициативами.</w:t>
            </w:r>
          </w:p>
        </w:tc>
        <w:tc>
          <w:tcPr>
            <w:tcW w:w="4530" w:type="dxa"/>
          </w:tcPr>
          <w:p w14:paraId="681D4066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мероприятий учреждения строится с учетом поддержки молодежных инициатив.</w:t>
            </w:r>
          </w:p>
        </w:tc>
      </w:tr>
      <w:tr w:rsidR="00F82D64" w14:paraId="6289A4D1" w14:textId="77777777">
        <w:tc>
          <w:tcPr>
            <w:tcW w:w="4815" w:type="dxa"/>
          </w:tcPr>
          <w:p w14:paraId="3E229DE2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9.2. Наличие мероприятий учреждения молодежной политики, проведенных непосредственно молодежью.</w:t>
            </w:r>
          </w:p>
        </w:tc>
        <w:tc>
          <w:tcPr>
            <w:tcW w:w="4530" w:type="dxa"/>
          </w:tcPr>
          <w:p w14:paraId="510FB46D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Ряд мероприятий МБУ «ГПМЦ» проводит активная молодежь/волонтеры, как правило это творческие мастер – классы, квесты,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квизы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настольные игры, интерактивы.  </w:t>
            </w:r>
          </w:p>
        </w:tc>
      </w:tr>
      <w:tr w:rsidR="00F82D64" w14:paraId="00854BD5" w14:textId="77777777">
        <w:tc>
          <w:tcPr>
            <w:tcW w:w="4815" w:type="dxa"/>
          </w:tcPr>
          <w:p w14:paraId="5584E35B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9.3. Наличие заявок на грантовые конкурсы от молодежи, посещающей учреждение молодежной политики.</w:t>
            </w:r>
          </w:p>
        </w:tc>
        <w:tc>
          <w:tcPr>
            <w:tcW w:w="4530" w:type="dxa"/>
          </w:tcPr>
          <w:p w14:paraId="6612F671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14BAEABF" w14:textId="77777777" w:rsidR="00F82D64" w:rsidRDefault="00F82D6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C55FC" w14:textId="77777777" w:rsidR="00F82D64" w:rsidRDefault="008D6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 Взаимодействие учреждения молодежной политики с партнерскими организациями в экосистеме молодежной политики, в том числе межведомственное взаимодействие </w:t>
      </w:r>
    </w:p>
    <w:p w14:paraId="770B9D84" w14:textId="77777777" w:rsidR="00F82D64" w:rsidRDefault="00F82D6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82D64" w14:paraId="1364BC5B" w14:textId="77777777">
        <w:tc>
          <w:tcPr>
            <w:tcW w:w="4672" w:type="dxa"/>
          </w:tcPr>
          <w:p w14:paraId="13A6C7F1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10.1. Наличие реализуемых продуктов / форматов взаимодействия учреждения молодежной политики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молодежными сообществами.</w:t>
            </w:r>
          </w:p>
        </w:tc>
        <w:tc>
          <w:tcPr>
            <w:tcW w:w="4673" w:type="dxa"/>
          </w:tcPr>
          <w:p w14:paraId="00512D1D" w14:textId="77777777" w:rsidR="00F82D64" w:rsidRDefault="00F8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3C6CBB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сотрудничает с Ученическим самоуправлением, движением «Первых», «Волонтеры Победы».</w:t>
            </w:r>
          </w:p>
          <w:p w14:paraId="3A240871" w14:textId="77777777" w:rsidR="00F82D64" w:rsidRDefault="00F82D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2D64" w14:paraId="55DEBF13" w14:textId="77777777">
        <w:tc>
          <w:tcPr>
            <w:tcW w:w="4672" w:type="dxa"/>
          </w:tcPr>
          <w:p w14:paraId="1A9AB8B7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10.2. Наличие реализуемых форматов взаимодействия учреждения молодежной политики с профильными отраслевыми партнерскими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ми.</w:t>
            </w:r>
          </w:p>
        </w:tc>
        <w:tc>
          <w:tcPr>
            <w:tcW w:w="4673" w:type="dxa"/>
          </w:tcPr>
          <w:p w14:paraId="3CAD0D29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учреждение сотрудничает с образовательными учреждениями города (школы), профессиональными образовательными организациями (ЯМК, ЭГК КФУ, ЯЭТК), университетами (ХГПУ, КФУ).</w:t>
            </w:r>
          </w:p>
        </w:tc>
      </w:tr>
      <w:tr w:rsidR="00F82D64" w14:paraId="063C6626" w14:textId="77777777">
        <w:tc>
          <w:tcPr>
            <w:tcW w:w="4672" w:type="dxa"/>
          </w:tcPr>
          <w:p w14:paraId="5D552C4B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10.3. Наличие реализуемых форматов взаимодействия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молодежной политики с партнерскими организациями иных сфер и отраслей.</w:t>
            </w:r>
          </w:p>
        </w:tc>
        <w:tc>
          <w:tcPr>
            <w:tcW w:w="4673" w:type="dxa"/>
          </w:tcPr>
          <w:p w14:paraId="279124C5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сотрудничает с учреждениями культуры города (Музеи, библиотеки, ЯЦКС), Управлением спорта и физической культуры, Никитским ботаническим садом, ФГБУ «Заповедный Крым» и др.  </w:t>
            </w:r>
          </w:p>
        </w:tc>
      </w:tr>
      <w:tr w:rsidR="00F82D64" w14:paraId="212DF211" w14:textId="77777777">
        <w:tc>
          <w:tcPr>
            <w:tcW w:w="4672" w:type="dxa"/>
          </w:tcPr>
          <w:p w14:paraId="56276558" w14:textId="77777777" w:rsidR="00F82D64" w:rsidRDefault="008D6208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10.4. Наличие реализуемых форматов взаимодействия учреждения молодежной политики с коммерческими организациями.</w:t>
            </w:r>
          </w:p>
        </w:tc>
        <w:tc>
          <w:tcPr>
            <w:tcW w:w="4673" w:type="dxa"/>
          </w:tcPr>
          <w:p w14:paraId="4067BAE2" w14:textId="77777777" w:rsidR="00F82D64" w:rsidRDefault="00F82D64">
            <w:pPr>
              <w:spacing w:after="0" w:line="240" w:lineRule="auto"/>
              <w:jc w:val="both"/>
            </w:pPr>
          </w:p>
          <w:p w14:paraId="667948BD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развивает партнерскую сеть, среди самых активных социальных предпринимателей: кинотеатр «Сатурн», ИП </w:t>
            </w:r>
          </w:p>
          <w:p w14:paraId="55E8764A" w14:textId="77777777" w:rsidR="00F82D64" w:rsidRDefault="008D62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Абдуразаков, Ялтинский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крокод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иляриум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тренажерный зал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Cross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Life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др.  </w:t>
            </w:r>
          </w:p>
          <w:p w14:paraId="520EE9D8" w14:textId="77777777" w:rsidR="00F82D64" w:rsidRDefault="00F82D64">
            <w:pPr>
              <w:spacing w:after="0" w:line="240" w:lineRule="auto"/>
              <w:jc w:val="both"/>
            </w:pPr>
          </w:p>
        </w:tc>
      </w:tr>
    </w:tbl>
    <w:p w14:paraId="7AAC2D8B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5C369E" w14:textId="77777777" w:rsidR="00F82D64" w:rsidRDefault="008D6208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Управленческие решения и адресные рекомендации</w:t>
      </w:r>
    </w:p>
    <w:p w14:paraId="7EA80E75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9345"/>
      </w:tblGrid>
      <w:tr w:rsidR="00F82D64" w14:paraId="3F616219" w14:textId="77777777">
        <w:tc>
          <w:tcPr>
            <w:tcW w:w="9345" w:type="dxa"/>
          </w:tcPr>
          <w:p w14:paraId="103F8E26" w14:textId="77777777" w:rsidR="00F82D64" w:rsidRDefault="008D620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деятельности МБУ «Городской подростково-молодежный центр» показал, что учреждение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стабильно  функционирует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развивается,  в соответствии с муниципальны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 заданием.</w:t>
            </w:r>
          </w:p>
          <w:p w14:paraId="713D1427" w14:textId="77777777" w:rsidR="00F82D64" w:rsidRDefault="008D620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Материально-техническая база, условия предоставления сервисов и кадровое обеспечение в основном соответствуют требованиям, но имеют системные зоны развития.</w:t>
            </w:r>
          </w:p>
          <w:p w14:paraId="4F3B1FE4" w14:textId="77777777" w:rsidR="00F82D64" w:rsidRDefault="00F82D6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35442" w14:textId="77777777" w:rsidR="00F82D64" w:rsidRDefault="008D620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Ключевые выводы:</w:t>
            </w:r>
          </w:p>
          <w:p w14:paraId="74042710" w14:textId="77777777" w:rsidR="00F82D64" w:rsidRDefault="008D620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· Сильные стороны: регулярное проведение мероприятий, положительная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динамика посещаемости, расположение объектов учреждения в разных районах города, функционирующая система оплаты труда. </w:t>
            </w:r>
          </w:p>
          <w:p w14:paraId="5E5B8EC4" w14:textId="77777777" w:rsidR="00F82D64" w:rsidRDefault="008D620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· Слабые стороны: Неполное соответствие материально-технической базы современным требованиям, отсутствие кадрового резерва; низкий урове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мотивационной программы, маленькие оклады, невозможность расширения штатного расписания.</w:t>
            </w:r>
          </w:p>
          <w:p w14:paraId="7980DC14" w14:textId="77777777" w:rsidR="00F82D64" w:rsidRDefault="00F82D6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7D42A" w14:textId="77777777" w:rsidR="00F82D64" w:rsidRDefault="008D6208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Приоритетные управленческие решения: усилить PR-активность, продолжать работу над улучшением материально – технической базы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учреждения,  участие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грантовых проект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 и федеральных программах развития учреждений молодежной политики.</w:t>
            </w:r>
          </w:p>
          <w:p w14:paraId="78E3347C" w14:textId="77777777" w:rsidR="00F82D64" w:rsidRDefault="00F82D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FD2609" w14:textId="77777777" w:rsidR="00F82D64" w:rsidRDefault="00F82D6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A8EFA7" w14:textId="77777777" w:rsidR="00F82D64" w:rsidRDefault="00F82D6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F82D64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AFE9EFB" w14:textId="77777777" w:rsidR="00F82D64" w:rsidRDefault="00F82D6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F82D64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61542" w14:textId="77777777" w:rsidR="008D6208" w:rsidRDefault="008D6208">
      <w:pPr>
        <w:spacing w:line="240" w:lineRule="auto"/>
      </w:pPr>
      <w:r>
        <w:separator/>
      </w:r>
    </w:p>
  </w:endnote>
  <w:endnote w:type="continuationSeparator" w:id="0">
    <w:p w14:paraId="3AEE5845" w14:textId="77777777" w:rsidR="008D6208" w:rsidRDefault="008D6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5EB21" w14:textId="77777777" w:rsidR="008D6208" w:rsidRDefault="008D6208">
      <w:pPr>
        <w:spacing w:after="0"/>
      </w:pPr>
      <w:r>
        <w:separator/>
      </w:r>
    </w:p>
  </w:footnote>
  <w:footnote w:type="continuationSeparator" w:id="0">
    <w:p w14:paraId="1467FDE1" w14:textId="77777777" w:rsidR="008D6208" w:rsidRDefault="008D62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96623677"/>
    </w:sdtPr>
    <w:sdtEndPr/>
    <w:sdtContent>
      <w:p w14:paraId="40B2D6B4" w14:textId="77777777" w:rsidR="00F82D64" w:rsidRDefault="008D6208">
        <w:pPr>
          <w:pStyle w:val="af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7E38DC9" w14:textId="77777777" w:rsidR="00F82D64" w:rsidRDefault="00F82D64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54"/>
    <w:rsid w:val="00015CBE"/>
    <w:rsid w:val="00037475"/>
    <w:rsid w:val="00134796"/>
    <w:rsid w:val="001A4884"/>
    <w:rsid w:val="001D54E0"/>
    <w:rsid w:val="00320205"/>
    <w:rsid w:val="00395729"/>
    <w:rsid w:val="003D4401"/>
    <w:rsid w:val="004C0658"/>
    <w:rsid w:val="005300B6"/>
    <w:rsid w:val="00567201"/>
    <w:rsid w:val="005E3A89"/>
    <w:rsid w:val="006A50F7"/>
    <w:rsid w:val="007C697F"/>
    <w:rsid w:val="00883C07"/>
    <w:rsid w:val="008D6208"/>
    <w:rsid w:val="008E34A1"/>
    <w:rsid w:val="009338BC"/>
    <w:rsid w:val="009B1379"/>
    <w:rsid w:val="00AA6784"/>
    <w:rsid w:val="00B03C54"/>
    <w:rsid w:val="00C90C2B"/>
    <w:rsid w:val="00D3751F"/>
    <w:rsid w:val="00D44364"/>
    <w:rsid w:val="00D938E1"/>
    <w:rsid w:val="00E76350"/>
    <w:rsid w:val="00EE32DF"/>
    <w:rsid w:val="00F82D64"/>
    <w:rsid w:val="11456666"/>
    <w:rsid w:val="1C27133D"/>
    <w:rsid w:val="43232EB0"/>
    <w:rsid w:val="70AF25EE"/>
    <w:rsid w:val="79A9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E9E4"/>
  <w15:docId w15:val="{74C4447C-5A3D-4D88-808C-C1E29616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uiPriority w:val="99"/>
    <w:unhideWhenUsed/>
    <w:qFormat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qFormat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5">
    <w:name w:val="Title"/>
    <w:basedOn w:val="a"/>
    <w:next w:val="a"/>
    <w:link w:val="af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7">
    <w:name w:val="footer"/>
    <w:basedOn w:val="a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9">
    <w:name w:val="Subtitle"/>
    <w:basedOn w:val="a"/>
    <w:next w:val="a"/>
    <w:link w:val="afa"/>
    <w:uiPriority w:val="11"/>
    <w:qFormat/>
    <w:pPr>
      <w:spacing w:before="200" w:after="200"/>
    </w:pPr>
    <w:rPr>
      <w:sz w:val="24"/>
      <w:szCs w:val="24"/>
    </w:rPr>
  </w:style>
  <w:style w:type="table" w:styleId="afb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c">
    <w:name w:val="No Spacing"/>
    <w:uiPriority w:val="1"/>
    <w:qFormat/>
    <w:rPr>
      <w:sz w:val="22"/>
      <w:szCs w:val="22"/>
      <w:lang w:eastAsia="en-US"/>
    </w:rPr>
  </w:style>
  <w:style w:type="character" w:customStyle="1" w:styleId="af6">
    <w:name w:val="Заголовок Знак"/>
    <w:basedOn w:val="a0"/>
    <w:link w:val="af5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d">
    <w:name w:val="Intense Quote"/>
    <w:basedOn w:val="a"/>
    <w:next w:val="a"/>
    <w:link w:val="af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e">
    <w:name w:val="Выделенная цитата Знак"/>
    <w:link w:val="afd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a">
    <w:name w:val="Текст концевой сноски Знак"/>
    <w:link w:val="a9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  <w:qFormat/>
    <w:pPr>
      <w:spacing w:after="160" w:line="259" w:lineRule="auto"/>
    </w:pPr>
    <w:rPr>
      <w:sz w:val="22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qFormat/>
  </w:style>
  <w:style w:type="character" w:customStyle="1" w:styleId="af8">
    <w:name w:val="Нижний колонтитул Знак"/>
    <w:basedOn w:val="a0"/>
    <w:link w:val="af7"/>
    <w:uiPriority w:val="99"/>
    <w:qFormat/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character" w:customStyle="1" w:styleId="af1">
    <w:name w:val="Текст сноски Знак"/>
    <w:basedOn w:val="a0"/>
    <w:link w:val="af0"/>
    <w:uiPriority w:val="99"/>
    <w:semiHidden/>
    <w:qFormat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qFormat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13">
    <w:name w:val="Рецензия1"/>
    <w:hidden/>
    <w:uiPriority w:val="99"/>
    <w:semiHidden/>
    <w:qFormat/>
    <w:rPr>
      <w:sz w:val="22"/>
      <w:szCs w:val="22"/>
      <w:lang w:eastAsia="en-US"/>
    </w:rPr>
  </w:style>
  <w:style w:type="table" w:customStyle="1" w:styleId="14">
    <w:name w:val="Сетка таблицы1"/>
    <w:basedOn w:val="a1"/>
    <w:uiPriority w:val="99"/>
    <w:unhideWhenUsed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pmc_yalta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ds.prostran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8C3F3-44F1-454F-9159-397B130E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2241</Words>
  <Characters>12775</Characters>
  <Application>Microsoft Office Word</Application>
  <DocSecurity>0</DocSecurity>
  <Lines>106</Lines>
  <Paragraphs>29</Paragraphs>
  <ScaleCrop>false</ScaleCrop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лена</cp:lastModifiedBy>
  <cp:revision>2</cp:revision>
  <dcterms:created xsi:type="dcterms:W3CDTF">2026-04-16T17:22:00Z</dcterms:created>
  <dcterms:modified xsi:type="dcterms:W3CDTF">2026-04-16T17:22:00Z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ADCB275CCF3F4C03A596CA852C54DE6B_13</vt:lpwstr>
  </property>
</Properties>
</file>