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2C2CA3" w:rsidRPr="00190490" w:rsidTr="00217F28">
        <w:trPr>
          <w:trHeight w:val="983"/>
        </w:trPr>
        <w:tc>
          <w:tcPr>
            <w:tcW w:w="5386" w:type="dxa"/>
            <w:hideMark/>
          </w:tcPr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 </w:t>
            </w:r>
          </w:p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школы </w:t>
            </w:r>
          </w:p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</w:t>
            </w:r>
            <w:r w:rsid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  <w:p w:rsidR="002C2CA3" w:rsidRPr="00190490" w:rsidRDefault="002C2CA3" w:rsidP="001904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</w:t>
            </w:r>
            <w:r w:rsid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P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</w:t>
            </w:r>
            <w:r w:rsidRP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5386" w:type="dxa"/>
            <w:hideMark/>
          </w:tcPr>
          <w:p w:rsidR="002C2CA3" w:rsidRPr="002C2CA3" w:rsidRDefault="002C2CA3" w:rsidP="001904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2C2CA3" w:rsidRPr="002C2CA3" w:rsidRDefault="002C2CA3" w:rsidP="00190490">
            <w:pPr>
              <w:spacing w:before="0" w:beforeAutospacing="0" w:after="0" w:afterAutospacing="0"/>
              <w:ind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Директором МБОУ </w:t>
            </w:r>
            <w:r w:rsid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«Черноморская средняя школа №2 имени Жданова А.К.»</w:t>
            </w:r>
          </w:p>
          <w:p w:rsidR="002C2CA3" w:rsidRPr="002C2CA3" w:rsidRDefault="002C2CA3" w:rsidP="001904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  <w:r w:rsid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О.А. Гаглоева</w:t>
            </w:r>
          </w:p>
          <w:p w:rsidR="002C2CA3" w:rsidRPr="00190490" w:rsidRDefault="002C2CA3" w:rsidP="0019049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4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№ </w:t>
            </w:r>
            <w:r w:rsidR="00190490">
              <w:rPr>
                <w:rFonts w:ascii="Times New Roman" w:hAnsi="Times New Roman"/>
                <w:sz w:val="24"/>
                <w:szCs w:val="24"/>
                <w:lang w:val="ru-RU"/>
              </w:rPr>
              <w:t>_________</w:t>
            </w:r>
            <w:r w:rsidRPr="001904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31.08.2023 г.</w:t>
            </w:r>
          </w:p>
          <w:p w:rsidR="002C2CA3" w:rsidRPr="00190490" w:rsidRDefault="002C2CA3" w:rsidP="002C2CA3">
            <w:pPr>
              <w:spacing w:before="0" w:beforeAutospacing="0" w:after="0" w:afterAutospacing="0"/>
              <w:ind w:left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0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</w:p>
        </w:tc>
      </w:tr>
    </w:tbl>
    <w:p w:rsidR="002C2CA3" w:rsidRDefault="002C2CA3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 оценки качества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1904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«Черноморская средняя школа №2 имени Жданова А.К.»</w:t>
      </w:r>
      <w:r w:rsidRPr="00DE7E40">
        <w:rPr>
          <w:lang w:val="ru-RU"/>
        </w:rPr>
        <w:br/>
      </w:r>
      <w:r w:rsidRPr="00DE7E40">
        <w:rPr>
          <w:lang w:val="ru-RU"/>
        </w:rPr>
        <w:br/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МБОУ «Черноморская средняя школа №2 имени Жданова А.К.» (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далее – Положение):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4A3B6A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соответствии: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 начального общего образования»;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A35BEF" w:rsidRPr="00DE7E40" w:rsidRDefault="00A35BEF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06.05.2019 №590/219 «Методология и критерии оценки качества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4A3B6A" w:rsidRPr="0019049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90490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</w:p>
    <w:p w:rsidR="00A35BEF" w:rsidRPr="00DE7E40" w:rsidRDefault="00A35BEF" w:rsidP="00A35BEF">
      <w:pPr>
        <w:spacing w:before="0" w:beforeAutospacing="0" w:after="0" w:afterAutospacing="0"/>
        <w:ind w:left="851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внутренняя система оценки качества образования (ВСОКО)</w:t>
      </w:r>
    </w:p>
    <w:p w:rsidR="00190490" w:rsidRDefault="00DE7E40" w:rsidP="0019049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 потребностям участников образовательных отношений;</w:t>
      </w:r>
    </w:p>
    <w:p w:rsidR="004A3B6A" w:rsidRPr="00190490" w:rsidRDefault="00DE7E40" w:rsidP="00190490">
      <w:pPr>
        <w:spacing w:before="0" w:beforeAutospacing="0" w:after="0" w:afterAutospacing="0"/>
        <w:ind w:left="568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90490">
        <w:rPr>
          <w:rFonts w:hAnsi="Times New Roman" w:cs="Times New Roman"/>
          <w:bCs/>
          <w:color w:val="000000"/>
          <w:sz w:val="24"/>
          <w:szCs w:val="24"/>
          <w:u w:val="single"/>
        </w:rPr>
        <w:t>внутришкольный</w:t>
      </w:r>
      <w:proofErr w:type="spellEnd"/>
      <w:r w:rsidRPr="0019049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190490">
        <w:rPr>
          <w:rFonts w:hAnsi="Times New Roman" w:cs="Times New Roman"/>
          <w:bCs/>
          <w:color w:val="000000"/>
          <w:sz w:val="24"/>
          <w:szCs w:val="24"/>
          <w:u w:val="single"/>
        </w:rPr>
        <w:t>контроль</w:t>
      </w:r>
      <w:proofErr w:type="spellEnd"/>
      <w:r w:rsidRPr="0019049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190490">
        <w:rPr>
          <w:rFonts w:hAnsi="Times New Roman" w:cs="Times New Roman"/>
          <w:bCs/>
          <w:color w:val="000000"/>
          <w:sz w:val="24"/>
          <w:szCs w:val="24"/>
          <w:u w:val="single"/>
        </w:rPr>
        <w:t>(ВШК)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качество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образования</w:t>
      </w:r>
      <w:proofErr w:type="spell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независимая оценка качества образования (НОКО)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основная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образовательная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программа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(ООП)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оценка</w:t>
      </w:r>
      <w:proofErr w:type="spell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диагностика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мониторинг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ГИА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ФПУ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ИКТ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информационно-коммуникационные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УУД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ВПР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всероссийские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PISA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НИКО</w:t>
      </w:r>
    </w:p>
    <w:p w:rsidR="004A3B6A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национальное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E7E40" w:rsidRDefault="00DE7E40" w:rsidP="00DE7E40">
      <w:pPr>
        <w:spacing w:before="0" w:beforeAutospacing="0" w:after="0" w:afterAutospacing="0"/>
        <w:ind w:left="568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3B6A" w:rsidRP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C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И КОМПОНЕНТЫ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2.1. В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ВСОКО включает: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851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:rsidR="004A3B6A" w:rsidRPr="0019049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490">
        <w:rPr>
          <w:rFonts w:hAnsi="Times New Roman" w:cs="Times New Roman"/>
          <w:color w:val="000000"/>
          <w:sz w:val="24"/>
          <w:szCs w:val="24"/>
          <w:lang w:val="ru-RU"/>
        </w:rPr>
        <w:t>должностных лиц, субъектов оценки;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90490">
        <w:rPr>
          <w:rFonts w:hAnsi="Times New Roman" w:cs="Times New Roman"/>
          <w:color w:val="000000"/>
          <w:sz w:val="24"/>
          <w:szCs w:val="24"/>
          <w:lang w:val="ru-RU"/>
        </w:rPr>
        <w:t>направле</w:t>
      </w:r>
      <w:r>
        <w:rPr>
          <w:rFonts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программы и сервисы.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В рамках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оцениваются направления: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образовательной деятельности;</w:t>
      </w:r>
    </w:p>
    <w:p w:rsidR="004A3B6A" w:rsidRPr="00DE7E40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4A3B6A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Результаты функционирования ВСОКО обобщаются и фиксируются в ежегодном отчете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3.1. В качестве объекта оценки образовательных результатов реализации ООП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учащихся </w:t>
      </w:r>
      <w:r w:rsidR="00BE2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конкурсах, соревнованиях, олимпиадах различного уровня;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диагностический контроль;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 аттестацию;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 работ;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3.3. Текущий контроль и промежуточная аттестация обучающихся регулируются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оложением о формах, периодичности, порядке текущего контроля и промежуточной аттестации обучающихся.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3.5. Отметки по результатам оценки зависят прежде всего от уровня выполненного задания. Задание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«3». Задание повышенного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отмечается баллом «4». Баллом «5» отмечаются правильно выполненные задания высокого уровня сложности.</w:t>
      </w:r>
    </w:p>
    <w:p w:rsid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3.6. Оценочные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Обновление оценочных средств осуществляется по мере необходимости. 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достижения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ООП, реализуемых в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мониторинга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по критериям, указанным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Личностные образовательные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результатов, зафиксированных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A3B6A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</w:t>
      </w:r>
      <w:proofErr w:type="spell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p w:rsidR="00E82F21" w:rsidRPr="00DE7E40" w:rsidRDefault="00E82F21" w:rsidP="002C2C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="00EE0C96">
        <w:rPr>
          <w:lang w:val="ru-RU"/>
        </w:rPr>
        <w:t xml:space="preserve"> 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подлежат ООП, реализуемые в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ООП уровней общего образования требованиям ФГОС;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 освоения программы обучающимися.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3B6A" w:rsidRPr="00DE7E40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:rsidR="00783EFE" w:rsidRPr="00DE7E40" w:rsidRDefault="00783EFE" w:rsidP="00783EFE">
      <w:pPr>
        <w:spacing w:before="0" w:beforeAutospacing="0" w:after="0" w:afterAutospacing="0"/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УСЛОВИЙ,</w:t>
      </w:r>
      <w:r w:rsidR="00EE0C96">
        <w:rPr>
          <w:lang w:val="ru-RU"/>
        </w:rPr>
        <w:t xml:space="preserve"> 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ОБЕСПЕЧИВАЮЩИХ ОБРАЗОВАТЕЛЬНУЮ ДЕЯТЕЛЬНОСТЬ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оценки условий, обеспечивающих образовательную деятельность в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условий, обеспечивающих образовательную деятельность в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взаимодействия семьи и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Формы, направления, процедуры проведения и технологии мониторинга определяются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метапредметных результатов обучающихся;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личностных результатов обучающихся;</w:t>
      </w:r>
    </w:p>
    <w:p w:rsidR="004A3B6A" w:rsidRPr="00DE7E40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1-х, 5-х, 10-х классов;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качества преподавания учебных предметов.</w:t>
      </w:r>
    </w:p>
    <w:p w:rsidR="0048032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инициативе участников образовательных отношений и (или) в рамках программы развития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могут разрабатываться и проводиться иные мониторинги. 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7.1.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отчете о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публичном докладе </w:t>
      </w:r>
      <w:r w:rsidR="00190490" w:rsidRPr="0019049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190490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 2 имени Жданова А.К.»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показателей НОКО.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– с целью выявления динамики спроса на те или иные программы;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:rsidR="004A3B6A" w:rsidRPr="004B23BC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B23BC">
        <w:rPr>
          <w:rFonts w:hAnsi="Times New Roman" w:cs="Times New Roman"/>
          <w:sz w:val="24"/>
          <w:szCs w:val="24"/>
          <w:lang w:val="ru-RU"/>
        </w:rPr>
        <w:t>Администрация школы обеспечивает участие не менее 50 процентов родителей (законных представителей) в опросах НОКО.</w:t>
      </w:r>
    </w:p>
    <w:p w:rsidR="00480326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480326">
      <w:pPr>
        <w:spacing w:before="0" w:beforeAutospacing="0" w:after="0" w:afterAutospacing="0"/>
        <w:ind w:left="-42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E7E40">
        <w:rPr>
          <w:lang w:val="ru-RU"/>
        </w:rPr>
        <w:br/>
      </w:r>
    </w:p>
    <w:p w:rsidR="004A3B6A" w:rsidRDefault="00DE7E40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p w:rsidR="00480326" w:rsidRPr="00DE7E40" w:rsidRDefault="00480326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8"/>
        <w:gridCol w:w="2482"/>
        <w:gridCol w:w="1212"/>
        <w:gridCol w:w="1145"/>
        <w:gridCol w:w="1406"/>
        <w:gridCol w:w="1237"/>
      </w:tblGrid>
      <w:tr w:rsidR="00480326" w:rsidTr="00E82F21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:rsidR="004A3B6A" w:rsidRPr="00BE2587" w:rsidRDefault="004A3B6A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3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12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старте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18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2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</w:tr>
      <w:tr w:rsidR="00480326" w:rsidTr="00E82F21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  <w:p w:rsidR="004A3B6A" w:rsidRDefault="004A3B6A" w:rsidP="00480326">
            <w:pPr>
              <w:spacing w:before="0" w:beforeAutospacing="0" w:after="0" w:afterAutospacing="0"/>
              <w:ind w:left="284" w:hanging="284"/>
              <w:jc w:val="both"/>
            </w:pPr>
          </w:p>
          <w:p w:rsidR="004A3B6A" w:rsidRDefault="00DE7E40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4A3B6A" w:rsidP="00480326">
            <w:pPr>
              <w:spacing w:before="0" w:beforeAutospacing="0" w:after="0" w:afterAutospacing="0"/>
              <w:ind w:left="284" w:hanging="284"/>
              <w:jc w:val="both"/>
            </w:pPr>
          </w:p>
          <w:p w:rsidR="004A3B6A" w:rsidRDefault="00DE7E40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98" w:right="241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3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3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4B23BC" w:rsidRDefault="004A3B6A" w:rsidP="00480326">
            <w:pPr>
              <w:spacing w:before="0" w:beforeAutospacing="0" w:after="0" w:afterAutospacing="0"/>
              <w:ind w:left="303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4B23BC" w:rsidRDefault="004A3B6A" w:rsidP="00480326">
            <w:pPr>
              <w:spacing w:before="0" w:beforeAutospacing="0" w:after="0" w:afterAutospacing="0"/>
              <w:ind w:left="303"/>
              <w:jc w:val="both"/>
              <w:rPr>
                <w:color w:val="FF000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9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3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9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–первая;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</w:p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DE7E40">
            <w:pPr>
              <w:spacing w:before="0" w:beforeAutospacing="0" w:after="0" w:afterAutospacing="0"/>
              <w:ind w:left="284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</w:tr>
      <w:tr w:rsidR="00480326" w:rsidTr="00E82F21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ФГОС/федеральными или региональными требованиями)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E82F21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учебно-методической литературы в</w:t>
            </w:r>
          </w:p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 единиц хранения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E82F21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E82F21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E82F21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E82F21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AA298B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E82F21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</w:tbl>
    <w:p w:rsidR="00DE7E40" w:rsidRDefault="00DE7E40" w:rsidP="00DE7E40">
      <w:pPr>
        <w:spacing w:before="0" w:beforeAutospacing="0" w:after="0" w:afterAutospacing="0"/>
        <w:ind w:left="-426"/>
        <w:jc w:val="both"/>
      </w:pPr>
    </w:p>
    <w:sectPr w:rsidR="00DE7E40" w:rsidSect="00DE7E40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00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25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27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0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B1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A6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4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F5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22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32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22D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95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F1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D7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4582"/>
    <w:rsid w:val="00085C09"/>
    <w:rsid w:val="00190490"/>
    <w:rsid w:val="00215D86"/>
    <w:rsid w:val="002C2CA3"/>
    <w:rsid w:val="002D33B1"/>
    <w:rsid w:val="002D3591"/>
    <w:rsid w:val="002F1AA9"/>
    <w:rsid w:val="003514A0"/>
    <w:rsid w:val="00480326"/>
    <w:rsid w:val="004A3B6A"/>
    <w:rsid w:val="004B23BC"/>
    <w:rsid w:val="004F7E17"/>
    <w:rsid w:val="005A05CE"/>
    <w:rsid w:val="00653AF6"/>
    <w:rsid w:val="007044B5"/>
    <w:rsid w:val="00783EFE"/>
    <w:rsid w:val="00A35BEF"/>
    <w:rsid w:val="00B73A5A"/>
    <w:rsid w:val="00BE2587"/>
    <w:rsid w:val="00DE7E40"/>
    <w:rsid w:val="00E438A1"/>
    <w:rsid w:val="00E82F21"/>
    <w:rsid w:val="00EE0C9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97F7"/>
  <w15:docId w15:val="{E2D014FC-BF0C-4A9B-B879-31C824DE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5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dc:description>Подготовлено экспертами Актион-МЦФЭР</dc:description>
  <cp:lastModifiedBy>Школа 2</cp:lastModifiedBy>
  <cp:revision>2</cp:revision>
  <cp:lastPrinted>2024-02-06T09:35:00Z</cp:lastPrinted>
  <dcterms:created xsi:type="dcterms:W3CDTF">2024-02-06T12:03:00Z</dcterms:created>
  <dcterms:modified xsi:type="dcterms:W3CDTF">2024-02-06T12:03:00Z</dcterms:modified>
</cp:coreProperties>
</file>