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DE06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575833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«Красноярская средняя школа имени Бых Николая Никифоровича»</w:t>
      </w:r>
    </w:p>
    <w:p w14:paraId="6838961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Черноморский район Республики Крым</w:t>
      </w:r>
    </w:p>
    <w:p w14:paraId="5DE410B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162BE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28D7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7DE5923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Директор школы</w:t>
      </w:r>
    </w:p>
    <w:p w14:paraId="6B27D19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_________З. Э. Асанова</w:t>
      </w:r>
    </w:p>
    <w:p w14:paraId="71A0D7A2">
      <w:pPr>
        <w:spacing w:after="0" w:line="36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125</w:t>
      </w:r>
    </w:p>
    <w:p w14:paraId="427D683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</w:t>
      </w:r>
      <w:r>
        <w:rPr>
          <w:rFonts w:ascii="Times New Roman" w:hAnsi="Times New Roman" w:cs="Times New Roman"/>
          <w:sz w:val="24"/>
          <w:szCs w:val="24"/>
        </w:rPr>
        <w:t>»  августа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</w:t>
      </w:r>
    </w:p>
    <w:p w14:paraId="60133A3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DAAC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D306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64A9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6A5849A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КРУЖКУ</w:t>
      </w:r>
    </w:p>
    <w:p w14:paraId="580ECB2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«ЩИТ И КОЛЬЦО»</w:t>
      </w:r>
    </w:p>
    <w:p w14:paraId="4A95AE6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5-11 КЛАСС</w:t>
      </w:r>
    </w:p>
    <w:p w14:paraId="6B5087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B6DEA4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САИТАСАНОВА ЗАРИНА РЫШАТОВНА</w:t>
      </w:r>
    </w:p>
    <w:p w14:paraId="12C21BA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84AA11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BC7BDA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AAEE44">
      <w:pPr>
        <w:spacing w:after="0" w:line="240" w:lineRule="auto"/>
        <w:rPr>
          <w:rFonts w:ascii="Times New Roman" w:hAnsi="Times New Roman" w:cs="Times New Roman"/>
        </w:rPr>
      </w:pPr>
    </w:p>
    <w:p w14:paraId="27838D6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СОГЛАСОВАНО  </w:t>
      </w:r>
    </w:p>
    <w:p w14:paraId="7CD58FE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заместитель директора    </w:t>
      </w:r>
    </w:p>
    <w:p w14:paraId="27FF3E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воспитательной    </w:t>
      </w:r>
    </w:p>
    <w:p w14:paraId="0602394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работе  </w:t>
      </w:r>
    </w:p>
    <w:p w14:paraId="1E5BC08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  <w:lang w:val="ru-RU"/>
        </w:rPr>
        <w:t>С</w:t>
      </w:r>
      <w:r>
        <w:rPr>
          <w:rFonts w:hint="default" w:ascii="Times New Roman" w:hAnsi="Times New Roman" w:cs="Times New Roman"/>
          <w:sz w:val="24"/>
          <w:lang w:val="ru-RU"/>
        </w:rPr>
        <w:t>.А.Пирогова</w:t>
      </w:r>
      <w:r>
        <w:rPr>
          <w:rFonts w:ascii="Times New Roman" w:hAnsi="Times New Roman" w:cs="Times New Roman"/>
          <w:sz w:val="24"/>
        </w:rPr>
        <w:t xml:space="preserve">    </w:t>
      </w:r>
    </w:p>
    <w:p w14:paraId="40F5677D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</w:rPr>
        <w:t>от  «___»__________202</w:t>
      </w:r>
      <w:r>
        <w:rPr>
          <w:rFonts w:hint="default" w:ascii="Times New Roman" w:hAnsi="Times New Roman" w:cs="Times New Roman"/>
          <w:sz w:val="24"/>
          <w:lang w:val="ru-RU"/>
        </w:rPr>
        <w:t>5</w:t>
      </w:r>
      <w:r>
        <w:rPr>
          <w:rFonts w:ascii="Times New Roman" w:hAnsi="Times New Roman" w:cs="Times New Roman"/>
          <w:sz w:val="24"/>
        </w:rPr>
        <w:t xml:space="preserve">г.             </w:t>
      </w:r>
    </w:p>
    <w:p w14:paraId="218FF09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190654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2A0DA3F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РАССМОТРЕНО</w:t>
      </w:r>
    </w:p>
    <w:p w14:paraId="68578BF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заседании МО учителей  </w:t>
      </w:r>
    </w:p>
    <w:p w14:paraId="01A1C27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социально-гуманитарных</w:t>
      </w:r>
    </w:p>
    <w:p w14:paraId="35AE6ED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дисциплин    </w:t>
      </w:r>
    </w:p>
    <w:p w14:paraId="7FDE90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МО</w:t>
      </w:r>
    </w:p>
    <w:p w14:paraId="186639A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 С.В.Диброва</w:t>
      </w:r>
    </w:p>
    <w:p w14:paraId="24BF9204">
      <w:pPr>
        <w:spacing w:after="0" w:line="240" w:lineRule="auto"/>
        <w:contextualSpacing/>
        <w:rPr>
          <w:rFonts w:hint="default"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 xml:space="preserve">Протокол № </w:t>
      </w:r>
      <w:r>
        <w:rPr>
          <w:rFonts w:hint="default" w:ascii="Times New Roman" w:hAnsi="Times New Roman" w:cs="Times New Roman"/>
          <w:sz w:val="24"/>
          <w:lang w:val="ru-RU"/>
        </w:rPr>
        <w:t>4</w:t>
      </w:r>
    </w:p>
    <w:p w14:paraId="64517A11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</w:rPr>
        <w:t>от  «</w:t>
      </w:r>
      <w:r>
        <w:rPr>
          <w:rFonts w:hint="default" w:ascii="Times New Roman" w:hAnsi="Times New Roman" w:cs="Times New Roman"/>
          <w:sz w:val="24"/>
          <w:lang w:val="ru-RU"/>
        </w:rPr>
        <w:t>25</w:t>
      </w:r>
      <w:r>
        <w:rPr>
          <w:rFonts w:ascii="Times New Roman" w:hAnsi="Times New Roman" w:cs="Times New Roman"/>
          <w:sz w:val="24"/>
        </w:rPr>
        <w:t>» августа 202</w:t>
      </w:r>
      <w:r>
        <w:rPr>
          <w:rFonts w:hint="default" w:ascii="Times New Roman" w:hAnsi="Times New Roman" w:cs="Times New Roman"/>
          <w:sz w:val="24"/>
          <w:lang w:val="ru-RU"/>
        </w:rPr>
        <w:t>5</w:t>
      </w:r>
      <w:r>
        <w:rPr>
          <w:rFonts w:ascii="Times New Roman" w:hAnsi="Times New Roman" w:cs="Times New Roman"/>
          <w:sz w:val="24"/>
        </w:rPr>
        <w:t xml:space="preserve">г.                                             </w:t>
      </w:r>
    </w:p>
    <w:p w14:paraId="24C4DD7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BAD85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BEE1C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A6CD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1359C26F">
      <w:pPr>
        <w:pStyle w:val="12"/>
        <w:ind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19AE03B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eastAsia="Calibri" w:cs="Times New Roman"/>
          <w:b/>
          <w:color w:val="333333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color w:val="333333"/>
          <w:sz w:val="24"/>
          <w:szCs w:val="24"/>
          <w:lang w:eastAsia="en-US"/>
        </w:rPr>
        <w:t>ПОЯСНИТЕЛЬНАЯ ЗАПИСКА</w:t>
      </w:r>
    </w:p>
    <w:p w14:paraId="1C04C3FD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709" w:leftChars="0" w:right="268" w:rightChars="0"/>
        <w:contextualSpacing/>
        <w:jc w:val="center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Комплекс основных характеристик программы</w:t>
      </w:r>
    </w:p>
    <w:p w14:paraId="1C0EE0C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b/>
          <w:color w:val="333333"/>
          <w:sz w:val="24"/>
          <w:szCs w:val="24"/>
          <w:lang w:eastAsia="en-US"/>
        </w:rPr>
      </w:pPr>
    </w:p>
    <w:p w14:paraId="43D1B92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Настоящая программа разработана с учетом требований следующих нормативных документов:</w:t>
      </w:r>
    </w:p>
    <w:p w14:paraId="753BDAEE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Федеральный</w:t>
      </w:r>
      <w:r>
        <w:rPr>
          <w:rFonts w:hint="default"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Закон</w:t>
      </w:r>
      <w:r>
        <w:rPr>
          <w:rFonts w:hint="default" w:ascii="Times New Roman" w:hAnsi="Times New Roman" w:eastAsia="Times New Roman" w:cs="Times New Roman"/>
          <w:spacing w:val="3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«Об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образовании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Федерации»от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29.12.2012</w:t>
      </w:r>
    </w:p>
    <w:p w14:paraId="4556AFD0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141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№ 273-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ФЗ.</w:t>
      </w:r>
    </w:p>
    <w:p w14:paraId="51F422E2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Стратегия развития воспитания  в Российской Федерации на период до 2025 года, утвержденная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распоряжением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Правительства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Федерации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от</w:t>
      </w:r>
      <w:r>
        <w:rPr>
          <w:rFonts w:hint="default"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29.05.2015</w:t>
      </w:r>
    </w:p>
    <w:p w14:paraId="1030D3A4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141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№ 996-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р.</w:t>
      </w:r>
    </w:p>
    <w:p w14:paraId="79769B31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distribute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- Концепция развития дополнительного образования детей до 2030 года, утвержденная распоряжением Правительства  Российской Федерации от 31.03.2022 №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678-р.</w:t>
      </w:r>
    </w:p>
    <w:p w14:paraId="1473C836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Приказ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Министерства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просвещения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Федерации</w:t>
      </w:r>
      <w:r>
        <w:rPr>
          <w:rFonts w:hint="default" w:ascii="Times New Roman" w:hAnsi="Times New Roman" w:eastAsia="Times New Roman" w:cs="Times New Roman"/>
          <w:spacing w:val="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«Об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14:paraId="3BC577A6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Приказ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Министерства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просвещения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Федерации</w:t>
      </w:r>
      <w:r>
        <w:rPr>
          <w:rFonts w:hint="default" w:ascii="Times New Roman" w:hAnsi="Times New Roman" w:eastAsia="Times New Roman" w:cs="Times New Roman"/>
          <w:spacing w:val="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«Об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утверждении показателей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характеризующих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общие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критерии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оценки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качества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условий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14:paraId="04ED5A49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Приказ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Министерства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просвещения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Федерации</w:t>
      </w:r>
      <w:r>
        <w:rPr>
          <w:rFonts w:hint="default" w:ascii="Times New Roman" w:hAnsi="Times New Roman" w:eastAsia="Times New Roman" w:cs="Times New Roman"/>
          <w:spacing w:val="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«Об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утверждении Целевой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модели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развития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региональных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систем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дополнительного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образования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детей»</w:t>
      </w:r>
      <w:r>
        <w:rPr>
          <w:rFonts w:hint="default" w:ascii="Times New Roman" w:hAnsi="Times New Roman" w:eastAsia="Times New Roman" w:cs="Times New Roman"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от 03.09.2019 № 467.</w:t>
      </w:r>
    </w:p>
    <w:p w14:paraId="1EE36E8F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Приказ</w:t>
      </w:r>
      <w:r>
        <w:rPr>
          <w:rFonts w:hint="default" w:ascii="Times New Roman" w:hAnsi="Times New Roman" w:eastAsia="Times New Roman" w:cs="Times New Roman"/>
          <w:spacing w:val="34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Министерства</w:t>
      </w:r>
      <w:r>
        <w:rPr>
          <w:rFonts w:hint="default" w:ascii="Times New Roman" w:hAnsi="Times New Roman" w:eastAsia="Times New Roman" w:cs="Times New Roman"/>
          <w:spacing w:val="3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труда</w:t>
      </w:r>
      <w:r>
        <w:rPr>
          <w:rFonts w:hint="default" w:ascii="Times New Roman" w:hAnsi="Times New Roman" w:eastAsia="Times New Roman" w:cs="Times New Roman"/>
          <w:spacing w:val="36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hint="default" w:ascii="Times New Roman" w:hAnsi="Times New Roman" w:eastAsia="Times New Roman" w:cs="Times New Roman"/>
          <w:spacing w:val="3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социальной</w:t>
      </w:r>
      <w:r>
        <w:rPr>
          <w:rFonts w:hint="default" w:ascii="Times New Roman" w:hAnsi="Times New Roman" w:eastAsia="Times New Roman" w:cs="Times New Roman"/>
          <w:spacing w:val="36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защиты</w:t>
      </w:r>
      <w:r>
        <w:rPr>
          <w:rFonts w:hint="default" w:ascii="Times New Roman" w:hAnsi="Times New Roman" w:eastAsia="Times New Roman" w:cs="Times New Roman"/>
          <w:spacing w:val="3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hint="default" w:ascii="Times New Roman" w:hAnsi="Times New Roman" w:eastAsia="Times New Roman" w:cs="Times New Roman"/>
          <w:spacing w:val="37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Федерации</w:t>
      </w:r>
    </w:p>
    <w:p w14:paraId="03A1B91E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141" w:right="0" w:rightChars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«Об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утверждении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профессионального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стандарта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«Педагог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дополнительного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образования детей и взрослых» от 22.09.2019 № 652н.</w:t>
      </w:r>
    </w:p>
    <w:p w14:paraId="560E45EC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3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-Постановление Главного государственного санитарного врача Российской Федерации</w:t>
      </w:r>
      <w:r>
        <w:rPr>
          <w:rFonts w:hint="default"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 от 28.09.2020 № 28.</w:t>
      </w:r>
    </w:p>
    <w:p w14:paraId="767B4927">
      <w:pPr>
        <w:keepNext w:val="0"/>
        <w:keepLines w:val="0"/>
        <w:pageBreakBefore w:val="0"/>
        <w:widowControl w:val="0"/>
        <w:numPr>
          <w:numId w:val="0"/>
        </w:numPr>
        <w:tabs>
          <w:tab w:val="left" w:pos="13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54" w:righ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- Постановление Главного государственного санитарного врача Российской Федерации</w:t>
      </w:r>
      <w:r>
        <w:rPr>
          <w:rFonts w:hint="default" w:ascii="Times New Roman" w:hAnsi="Times New Roman" w:eastAsia="Times New Roman" w:cs="Times New Roman"/>
          <w:spacing w:val="57"/>
          <w:sz w:val="24"/>
          <w:szCs w:val="24"/>
          <w:lang w:val="ru-RU" w:eastAsia="en-US" w:bidi="ar-SA"/>
        </w:rPr>
        <w:t xml:space="preserve"> 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«Об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утверждении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санитарных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правил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норм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СанПин</w:t>
      </w:r>
      <w:r>
        <w:rPr>
          <w:rFonts w:hint="default" w:ascii="Times New Roman" w:hAnsi="Times New Roman" w:eastAsia="Times New Roman" w:cs="Times New Roman"/>
          <w:spacing w:val="28"/>
          <w:sz w:val="24"/>
          <w:szCs w:val="24"/>
          <w:lang w:val="ru-RU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1.2.3685-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>21</w:t>
      </w:r>
    </w:p>
    <w:p w14:paraId="1F5700E4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141" w:right="54" w:rightChars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14:paraId="214EAE06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bookmarkStart w:id="0" w:name="_Hlk114566402"/>
      <w:r>
        <w:rPr>
          <w:rFonts w:hint="default" w:ascii="Times New Roman" w:hAnsi="Times New Roman" w:eastAsia="Times New Roman" w:cs="Times New Roman"/>
          <w:bCs/>
          <w:color w:val="000000"/>
          <w:spacing w:val="2"/>
          <w:kern w:val="36"/>
          <w:sz w:val="24"/>
          <w:szCs w:val="24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bCs/>
          <w:color w:val="000000"/>
          <w:spacing w:val="2"/>
          <w:kern w:val="36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б образовании в Республике Крым: 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  <w:shd w:val="clear" w:color="auto" w:fill="FFFFFF"/>
        </w:rPr>
        <w:t>закон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  <w:shd w:val="clear" w:color="auto" w:fill="FFFFFF"/>
        </w:rPr>
        <w:t>Республики Крым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  <w:shd w:val="clear" w:color="auto" w:fill="FFFFFF"/>
        </w:rPr>
        <w:t xml:space="preserve">от 06.07.2015 г. № 131-ЗРК/2015 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</w:rPr>
        <w:t>(</w:t>
      </w:r>
      <w:r>
        <w:rPr>
          <w:rFonts w:hint="default" w:ascii="Times New Roman" w:hAnsi="Times New Roman" w:eastAsia="Calibri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</w:rPr>
        <w:t xml:space="preserve">); </w:t>
      </w:r>
    </w:p>
    <w:p w14:paraId="31A2CD47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261FF166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color w:val="000000"/>
          <w:spacing w:val="2"/>
          <w:sz w:val="24"/>
          <w:szCs w:val="24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 w14:paraId="3D998250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Распоряжение Совета министров Республики Крым от 11.08.2022 г. </w:t>
      </w:r>
      <w:r>
        <w:rPr>
          <w:rFonts w:hint="default" w:ascii="Times New Roman" w:hAnsi="Times New Roman" w:eastAsia="Calibri" w:cs="Times New Roman"/>
          <w:sz w:val="24"/>
          <w:szCs w:val="24"/>
        </w:rPr>
        <w:br w:type="textWrapping"/>
      </w:r>
      <w:r>
        <w:rPr>
          <w:rFonts w:hint="default" w:ascii="Times New Roman" w:hAnsi="Times New Roman" w:eastAsia="Calibri" w:cs="Times New Roman"/>
          <w:sz w:val="24"/>
          <w:szCs w:val="24"/>
        </w:rPr>
        <w:t>№ 1179-р «О реализации Концепции дополнительного образования детей до 2030 года в Республике Крым»;</w:t>
      </w:r>
    </w:p>
    <w:p w14:paraId="531945CA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Times New Roman" w:cs="Times New Roman"/>
          <w:bCs/>
          <w:color w:val="000000"/>
          <w:spacing w:val="2"/>
          <w:kern w:val="36"/>
          <w:sz w:val="24"/>
          <w:szCs w:val="24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bCs/>
          <w:color w:val="000000"/>
          <w:spacing w:val="2"/>
          <w:kern w:val="36"/>
          <w:sz w:val="24"/>
          <w:szCs w:val="24"/>
          <w:lang w:eastAsia="ru-RU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61D9BB9B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14:paraId="0E64E450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bookmarkEnd w:id="0"/>
    <w:p w14:paraId="3835F74C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29.03.2016г.№ ВК-641/09 «О направлении методических рекомендаций»; </w:t>
      </w:r>
    </w:p>
    <w:p w14:paraId="704AD0D6">
      <w:pPr>
        <w:keepNext w:val="0"/>
        <w:keepLines w:val="0"/>
        <w:pageBreakBefore w:val="0"/>
        <w:numPr>
          <w:numId w:val="0"/>
        </w:numPr>
        <w:tabs>
          <w:tab w:val="left" w:pos="993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  <w:t>Письмо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Минпросвещения России от 19.03.2020 г. № ГД-39/04 </w:t>
      </w: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062B5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US" w:eastAsia="ru-RU"/>
        </w:rPr>
        <w:t xml:space="preserve">-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t>Устав МБОУ «Красноярская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US" w:eastAsia="ru-RU"/>
        </w:rPr>
        <w:t xml:space="preserve"> средняя школа им.Бых Н.Н.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t>».</w:t>
      </w:r>
    </w:p>
    <w:p w14:paraId="7511D567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2AC191B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120"/>
        <w:jc w:val="center"/>
        <w:textAlignment w:val="auto"/>
        <w:rPr>
          <w:rFonts w:hint="default" w:ascii="Times New Roman" w:hAnsi="Times New Roman" w:eastAsia="Calibri" w:cs="Times New Roman"/>
          <w:b/>
          <w:bCs/>
          <w:color w:val="333333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b/>
          <w:bCs/>
          <w:color w:val="333333"/>
          <w:sz w:val="24"/>
          <w:szCs w:val="24"/>
          <w:lang w:eastAsia="en-US"/>
        </w:rPr>
        <w:t>ОБЩАЯ ХАРАКТЕРИСТИКА КУРСА ВНЕУРОЧНОЙ ДЕЯТЕЛЬНОСТИ «ЩИТ И КОЛЬЦО»</w:t>
      </w:r>
      <w:r>
        <w:rPr>
          <w:rFonts w:hint="default" w:ascii="Times New Roman" w:hAnsi="Times New Roman" w:eastAsia="Calibri" w:cs="Times New Roman"/>
          <w:b/>
          <w:bCs/>
          <w:color w:val="333333"/>
          <w:sz w:val="24"/>
          <w:szCs w:val="24"/>
          <w:lang w:val="ru-RU" w:eastAsia="en-US"/>
        </w:rPr>
        <w:t>(Баскетбол)</w:t>
      </w:r>
    </w:p>
    <w:p w14:paraId="3083559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Программа по курсу «Щит и кольцо» предназначена для учащихся 5-11 классов.</w:t>
      </w:r>
      <w:r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  <w:t xml:space="preserve"> Программа  представляет собой методически оформленную конкретизацию требований ФГОС ООО и СОО и раскрывает их реализацию через конкретное предметное содержание,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4AB720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</w:t>
      </w:r>
    </w:p>
    <w:p w14:paraId="2199F5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/>
        <w:jc w:val="center"/>
        <w:textAlignment w:val="auto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Актуальность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b/>
          <w:sz w:val="24"/>
          <w:szCs w:val="24"/>
        </w:rPr>
        <w:t>программы</w:t>
      </w:r>
    </w:p>
    <w:p w14:paraId="2A67318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Баскетбол –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внеклассной и внешкольной работе – это занятия в спортивной секции по баскетболу, физкультурно-массовые и спортивные мероприятия (соревнования в общеобразовательном учреждении, на уровне района, округа, матчевые встречи и т.п.).</w:t>
      </w:r>
    </w:p>
    <w:p w14:paraId="0F7BE80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Чтобы играть в баскетбол,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баскетбол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баскетбол представляет собой средство не только физического развития, но и активного отдыха. Широкому распространению баскетбола содействует несложное оборудование: небольшая площадка, баскетбольные щиты и мяч.</w:t>
      </w:r>
    </w:p>
    <w:p w14:paraId="084A5D1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540"/>
        <w:contextualSpacing/>
        <w:jc w:val="center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Новизна программы</w:t>
      </w:r>
    </w:p>
    <w:p w14:paraId="5CA1CAC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Новизна 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</w:t>
      </w:r>
    </w:p>
    <w:p w14:paraId="206C20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Дополнительная образовательная программа имеет физкультурно-спортивную направленность и предназначена для углубленного изучения раздела «Баскетбол» образовательной программы основной средней школы (5-11 кл.). Целесообразность и актуальность программы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 </w:t>
      </w:r>
    </w:p>
    <w:p w14:paraId="79300B4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contextualSpacing/>
        <w:jc w:val="center"/>
        <w:textAlignment w:val="auto"/>
        <w:rPr>
          <w:rFonts w:hint="default" w:ascii="Times New Roman" w:hAnsi="Times New Roman" w:eastAsia="Times New Roman"/>
          <w:sz w:val="24"/>
          <w:szCs w:val="24"/>
        </w:rPr>
      </w:pPr>
      <w:r>
        <w:rPr>
          <w:rFonts w:hint="default" w:ascii="Times New Roman" w:hAnsi="Times New Roman" w:eastAsia="Times New Roman"/>
          <w:b/>
          <w:bCs/>
          <w:sz w:val="24"/>
          <w:szCs w:val="24"/>
        </w:rPr>
        <w:t>Педагогическая целесообразность.</w:t>
      </w:r>
    </w:p>
    <w:p w14:paraId="21E2F99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contextualSpacing/>
        <w:jc w:val="both"/>
        <w:textAlignment w:val="auto"/>
        <w:rPr>
          <w:rFonts w:hint="default" w:ascii="Times New Roman" w:hAnsi="Times New Roman" w:eastAsia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Программа 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14:paraId="58A5434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contextualSpacing/>
        <w:jc w:val="both"/>
        <w:textAlignment w:val="auto"/>
        <w:rPr>
          <w:rFonts w:hint="default" w:ascii="Times New Roman" w:hAnsi="Times New Roman" w:eastAsia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В условиях современной общеобразовательной школы у обучающихся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>Щит и кольцо</w:t>
      </w:r>
      <w:r>
        <w:rPr>
          <w:rFonts w:hint="default" w:ascii="Times New Roman" w:hAnsi="Times New Roman" w:eastAsia="Times New Roman"/>
          <w:sz w:val="24"/>
          <w:szCs w:val="24"/>
        </w:rPr>
        <w:t>», направленная на удовлетворение потребностей в движении, оздоровлении и поддержании функциональности организма.</w:t>
      </w:r>
    </w:p>
    <w:p w14:paraId="56F59E2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Данная программа соответствует потребностям времени, так как учитывает специфику дополнительного образования и охватывает значительное количество желающих заниматься этим видом спорта, предъявляя посильные требования к занимающимся в процессе обучения. Программа даёт возможность детям на ранней стадии обучения приобщаться к здоровому образу жизни, обеспечивая тем самым всесторонний подход к воспитанию гармоничного чел</w:t>
      </w:r>
    </w:p>
    <w:p w14:paraId="13AD5A93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Отличительная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особенность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программы</w:t>
      </w:r>
    </w:p>
    <w:p w14:paraId="31BC2FAC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Отличительные особенности программы по баскетболу для детей 11-17 лет заключаются в комплексном подходе к развитию навыков с использованием инновационных технологий, формировании командных и лидерских качеств, интеграции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фитнес-направлений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профилактики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травм,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также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воспитании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спортивной этики и ценностей для всестороннего и комфортного развития молодых спортсменов.Программа реализуется в рамках дополнительного образования обучающихся через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учебно-тренировочный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процесс.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Принцип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саморазвития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самосовершенствования личностного аспекта обучающихся, заложенный в программе развития, подкрепляется возможностью использовании технологий, включающих ученика в процесс получения знаний, развития способности к самоуправлению и самообразованию. Содержание разделов теоретической, технической, тактической, физической подготовки представлено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без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распределения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классам.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Учитель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должен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самостоятельно,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исходя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 степени готовности занимающихся, распределить учебный материал. Более того, программа рекомендует базовый уровень содержания учебного материала. Это содержание может быть расширено по усмотрению учителя.</w:t>
      </w:r>
    </w:p>
    <w:p w14:paraId="4B845E5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Формы обучения</w:t>
      </w:r>
    </w:p>
    <w:p w14:paraId="3CCF1E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Очная.</w:t>
      </w:r>
    </w:p>
    <w:p w14:paraId="1D71B93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120" w:firstLine="707" w:firstLineChars="0"/>
        <w:jc w:val="both"/>
        <w:textAlignment w:val="auto"/>
        <w:rPr>
          <w:rFonts w:hint="default" w:ascii="Times New Roman" w:hAnsi="Times New Roman" w:eastAsia="Calibri" w:cs="Times New Roman"/>
          <w:b/>
          <w:bCs/>
          <w:color w:val="333333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Обучение осуществляется по принципу «теория-практика», то есть, все теоретические знания, учащиеся закрепляют на практике.</w:t>
      </w:r>
    </w:p>
    <w:p w14:paraId="7D8E70B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120"/>
        <w:jc w:val="center"/>
        <w:textAlignment w:val="auto"/>
        <w:rPr>
          <w:rFonts w:hint="default"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bCs/>
          <w:color w:val="333333"/>
          <w:sz w:val="24"/>
          <w:szCs w:val="24"/>
          <w:lang w:eastAsia="en-US"/>
        </w:rPr>
        <w:t>ЦЕЛИ ИЗУЧЕНИЯ КУРСА ВНЕУРОЧНОЙ ДЕЯТЕЛЬНОСТИ</w:t>
      </w:r>
    </w:p>
    <w:p w14:paraId="0955ED8B">
      <w:pPr>
        <w:pStyle w:val="11"/>
        <w:keepNext w:val="0"/>
        <w:keepLines w:val="0"/>
        <w:pageBreakBefore w:val="0"/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 w:val="0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«ЩИТ И КОЛЬЦО»</w:t>
      </w:r>
    </w:p>
    <w:p w14:paraId="1064F013">
      <w:pPr>
        <w:keepNext w:val="0"/>
        <w:keepLines w:val="0"/>
        <w:pageBreakBefore w:val="0"/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ar-SA"/>
        </w:rPr>
        <w:t xml:space="preserve">Программа внеурочной деятельности по физкультурно-спортивному и оздоровительному направлению «Баскетбол» носит образовательно-воспитательный характер и направлена на осуществление следующих </w:t>
      </w:r>
      <w:r>
        <w:rPr>
          <w:rFonts w:hint="default" w:ascii="Times New Roman" w:hAnsi="Times New Roman" w:eastAsia="Times New Roman" w:cs="Times New Roman"/>
          <w:b/>
          <w:i/>
          <w:sz w:val="24"/>
          <w:szCs w:val="24"/>
          <w:lang w:eastAsia="ar-SA"/>
        </w:rPr>
        <w:t>целей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ar-SA"/>
        </w:rPr>
        <w:t>: укрепление здоровья, физического развития и подготовленности; воспитание личностных качеств; освоение и совершенствование жизненно важных двигательных навыков, основ спортивной техники избранного вида спорта.</w:t>
      </w:r>
    </w:p>
    <w:p w14:paraId="0B5AC5C9">
      <w:pPr>
        <w:keepNext w:val="0"/>
        <w:keepLines w:val="0"/>
        <w:pageBreakBefore w:val="0"/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54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ar-SA"/>
        </w:rPr>
        <w:tab/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ar-SA"/>
        </w:rPr>
        <w:tab/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ar-SA"/>
        </w:rPr>
        <w:t xml:space="preserve">Цели конкретизированы следующими </w:t>
      </w:r>
      <w:r>
        <w:rPr>
          <w:rFonts w:hint="default" w:ascii="Times New Roman" w:hAnsi="Times New Roman" w:eastAsia="Times New Roman" w:cs="Times New Roman"/>
          <w:b/>
          <w:bCs/>
          <w:i/>
          <w:sz w:val="24"/>
          <w:szCs w:val="24"/>
          <w:lang w:eastAsia="ar-SA"/>
        </w:rPr>
        <w:t>задачами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ar-SA"/>
        </w:rPr>
        <w:t>:</w:t>
      </w:r>
    </w:p>
    <w:p w14:paraId="346266AE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пропаганда здорового образа жизни, укрепление здоровья, содействие гармоническому физическому развитию занимающихся;</w:t>
      </w:r>
    </w:p>
    <w:p w14:paraId="3E09FB50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популяризация баскетбола как вида спорта и активного отдыха (физической рекреации);</w:t>
      </w:r>
    </w:p>
    <w:p w14:paraId="1FFB02F2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формирование у учащихся устойчивого интереса к занятиям баскетболом;</w:t>
      </w:r>
    </w:p>
    <w:p w14:paraId="7BACB5A8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обучение технике и тактике игры в баскетбол;</w:t>
      </w:r>
    </w:p>
    <w:p w14:paraId="2BC1F3A1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развитие физических способностей (силовых, скоростных, скоростно-силовых, координационных, а также выносливости, гибкости);</w:t>
      </w:r>
    </w:p>
    <w:p w14:paraId="4AAC3C3B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формирование у учащихся необходимых теоретических знаний;</w:t>
      </w:r>
    </w:p>
    <w:p w14:paraId="645FE909">
      <w:pPr>
        <w:keepNext w:val="0"/>
        <w:keepLines w:val="0"/>
        <w:pageBreakBefore w:val="0"/>
        <w:numPr>
          <w:ilvl w:val="0"/>
          <w:numId w:val="1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contextualSpacing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  <w:t>воспитание моральных и волевых качеств</w:t>
      </w:r>
    </w:p>
    <w:p w14:paraId="28E27F0A">
      <w:pPr>
        <w:keepNext w:val="0"/>
        <w:keepLines w:val="0"/>
        <w:pageBreakBefore w:val="0"/>
        <w:numPr>
          <w:numId w:val="0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ind w:left="49" w:leftChars="0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</w:pPr>
    </w:p>
    <w:p w14:paraId="5F6E8ABC">
      <w:pPr>
        <w:keepNext w:val="0"/>
        <w:keepLines w:val="0"/>
        <w:pageBreakBefore w:val="0"/>
        <w:numPr>
          <w:numId w:val="0"/>
        </w:numPr>
        <w:suppressAutoHyphens/>
        <w:kinsoku/>
        <w:wordWrap/>
        <w:overflowPunct/>
        <w:topLinePunct w:val="0"/>
        <w:bidi w:val="0"/>
        <w:adjustRightInd/>
        <w:snapToGrid/>
        <w:spacing w:after="0" w:line="240" w:lineRule="auto"/>
        <w:ind w:left="49" w:leftChars="0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</w:rPr>
      </w:pPr>
    </w:p>
    <w:p w14:paraId="47F8B58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120"/>
        <w:jc w:val="center"/>
        <w:textAlignment w:val="auto"/>
        <w:rPr>
          <w:rFonts w:hint="default"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bCs/>
          <w:color w:val="333333"/>
          <w:sz w:val="24"/>
          <w:szCs w:val="24"/>
          <w:lang w:eastAsia="en-US"/>
        </w:rPr>
        <w:t>МЕСТО КУРСА ВНЕУРОЧНОЙ ДЕЯТЕЛЬНОСТИ «ЩИТ И КОЛЬЦО» В ОБРАЗОВАТЕЛЬНОЙ ПРОГРАММЕ</w:t>
      </w:r>
    </w:p>
    <w:p w14:paraId="2383700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right="0" w:rightChars="0" w:firstLine="567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Программа составлена с учетом количества часов, отводимого на изучение курса «Щит и кольцо»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базовым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учебным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планом: 1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учебный час в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неделю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при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34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учебных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  <w:t>неделях.</w:t>
      </w:r>
    </w:p>
    <w:p w14:paraId="5A7E3DA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right="280" w:firstLine="567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en-US"/>
        </w:rPr>
      </w:pPr>
    </w:p>
    <w:p w14:paraId="2CFBC03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color w:val="333333"/>
          <w:sz w:val="24"/>
          <w:szCs w:val="24"/>
          <w:lang w:eastAsia="en-US"/>
        </w:rPr>
        <w:t>ПЛАНИРУЕМЫЕ ОБРАЗОВАТЕЛЬНЫЕ РЕЗУЛЬТАТЫ</w:t>
      </w:r>
    </w:p>
    <w:p w14:paraId="35B8890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Данная программа направлена на достижение учащимися личностных, метапредметных и предметных результатов.</w:t>
      </w:r>
    </w:p>
    <w:p w14:paraId="036E021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 xml:space="preserve">Личностные результаты: </w:t>
      </w:r>
    </w:p>
    <w:p w14:paraId="2E526AA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hanging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формирование устойчивого интереса, мотивации к занятиям физической культурой и к здоровому образу жизни; </w:t>
      </w:r>
    </w:p>
    <w:p w14:paraId="2AD20A5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воспитание морально-этических и волевых качеств; </w:t>
      </w:r>
    </w:p>
    <w:p w14:paraId="2573B98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– дисциплинированность, трудолюбие, упорство в достижении поставленных целей;</w:t>
      </w:r>
    </w:p>
    <w:p w14:paraId="56E29F1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умение управлять своими эмоциями в различных ситуациях; </w:t>
      </w:r>
    </w:p>
    <w:p w14:paraId="4EFF05A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умение оказывать помощь своим сверстникам. </w:t>
      </w:r>
    </w:p>
    <w:p w14:paraId="2887F97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 xml:space="preserve">Метапредметные результаты: </w:t>
      </w:r>
    </w:p>
    <w:p w14:paraId="037AD78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определять наиболее эффективные способы достижения результата; </w:t>
      </w:r>
    </w:p>
    <w:p w14:paraId="7928D3B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умение находить ошибки при выполнении заданий и уметь их исправлять; </w:t>
      </w:r>
    </w:p>
    <w:p w14:paraId="1AAB027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уметь организовать самостоятельные занятия баскетболом, а также, с группой товарищей; </w:t>
      </w:r>
    </w:p>
    <w:p w14:paraId="0FCE87F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организовывать и проводить соревнования по баскетболу в классе, во дворе, в оздоровительном лагере; </w:t>
      </w:r>
    </w:p>
    <w:p w14:paraId="2D8AD12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умение рационально распределять своё время в режиме дня, выполнять утреннюю зарядку; </w:t>
      </w:r>
    </w:p>
    <w:p w14:paraId="51232B6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умение вести наблюдение за показателями своего физического развития;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Регулятивные УУД.</w:t>
      </w:r>
    </w:p>
    <w:p w14:paraId="3BC3E8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Определять и формулировать цель деятельности на занятии с помощью учителя, а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далее самостоятельно.</w:t>
      </w:r>
    </w:p>
    <w:p w14:paraId="25B8E8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Проговаривать последовательность действий.</w:t>
      </w:r>
    </w:p>
    <w:p w14:paraId="7D2868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Учить высказывать своё предположение (версию) на основе данного задания, учить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работать по предложенному учителем плану, а в дальнейшем уметь самостоятельно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планировать свою деятельность.</w:t>
      </w:r>
    </w:p>
    <w:p w14:paraId="0CF1F4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 xml:space="preserve">- 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Средством формирования этих действий служит технология проблемного диалога на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этапе изучения нового материала.</w:t>
      </w:r>
    </w:p>
    <w:p w14:paraId="233716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Учиться совместно с учителем и другими воспитанниками давать эмоциональную оценку деятельности команды на занятии.</w:t>
      </w:r>
    </w:p>
    <w:p w14:paraId="17B859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Средством формирования этих действий служит технология оценивания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образовательных достижений (учебных успехов).</w:t>
      </w:r>
    </w:p>
    <w:p w14:paraId="54A62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2. Познавательные УУД</w:t>
      </w:r>
    </w:p>
    <w:p w14:paraId="0CCC79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  Добывать новые знания: находить ответы на вопросы, используя разные источники информации, свой жизненный опыт и информацию, полученную на занятии.</w:t>
      </w:r>
    </w:p>
    <w:p w14:paraId="34CAB2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 xml:space="preserve">- 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Перерабатывать полученную информацию: делать выводы в результате совместной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>р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аботы всей команды.</w:t>
      </w:r>
    </w:p>
    <w:p w14:paraId="5AD122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Средством формирования этих действий служит учебный материал и задания.</w:t>
      </w:r>
    </w:p>
    <w:p w14:paraId="142EA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3. Коммуникативные УУД.</w:t>
      </w:r>
    </w:p>
    <w:p w14:paraId="068D0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Умение донести свою позицию до других: оформлять свою мысль. Слушать и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понимать речь других.</w:t>
      </w:r>
    </w:p>
    <w:p w14:paraId="7FC083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 xml:space="preserve">- 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Совместно договариваться о правилах общения и поведения в игре и следовать им.</w:t>
      </w:r>
    </w:p>
    <w:p w14:paraId="3E932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Учиться выполнять различные роли в группе (лидера, исполнителя, критика).</w:t>
      </w:r>
    </w:p>
    <w:p w14:paraId="7C53E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 xml:space="preserve">- 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Средством формирования этих действий служит организация работы в парах и малых группах.</w:t>
      </w:r>
    </w:p>
    <w:p w14:paraId="5B4F7B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Оздоровительные результаты программы внеурочной деятельности:</w:t>
      </w:r>
    </w:p>
    <w:p w14:paraId="7FB8C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4" w:leftChars="52" w:firstLine="439" w:firstLineChars="183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>-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 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14:paraId="022490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 xml:space="preserve">- </w:t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социальная адаптация детей, расширение сферы общения, приобретение опыта взаимодействия с окружающим миром.</w:t>
      </w:r>
    </w:p>
    <w:p w14:paraId="37832C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0" w:firstLine="850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sz w:val="24"/>
          <w:szCs w:val="24"/>
          <w:lang w:eastAsia="en-US"/>
        </w:rPr>
        <w:t xml:space="preserve">Первостепенным результатом реализации программы внеурочной деятельности будет </w:t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  <w:t/>
      </w:r>
      <w:r>
        <w:rPr>
          <w:rFonts w:hint="default" w:ascii="Times New Roman" w:hAnsi="Times New Roman" w:eastAsia="Calibri"/>
          <w:sz w:val="24"/>
          <w:szCs w:val="24"/>
          <w:lang w:val="ru-RU" w:eastAsia="en-US"/>
        </w:rPr>
        <w:tab/>
      </w:r>
      <w:r>
        <w:rPr>
          <w:rFonts w:hint="default" w:ascii="Times New Roman" w:hAnsi="Times New Roman" w:eastAsia="Calibri"/>
          <w:sz w:val="24"/>
          <w:szCs w:val="24"/>
          <w:lang w:eastAsia="en-US"/>
        </w:rPr>
        <w:t>сознательное отношение учащихся к собственному здоровью.</w:t>
      </w:r>
    </w:p>
    <w:p w14:paraId="598DE02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Предметные результаты:</w:t>
      </w:r>
    </w:p>
    <w:p w14:paraId="32DC829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знать об особенностях зарождения, истории баскетбола; </w:t>
      </w:r>
    </w:p>
    <w:p w14:paraId="508ADFE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знать о физических качествах и правилах их тестирования; </w:t>
      </w:r>
    </w:p>
    <w:p w14:paraId="7ABD77B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выполнять упражнения по физической подготовке в соответствии с возрастом; </w:t>
      </w:r>
    </w:p>
    <w:p w14:paraId="51A6818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владеть тактико-техническими приемами баскетбола; </w:t>
      </w:r>
    </w:p>
    <w:p w14:paraId="7BC4983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– знать основы личной гигиены, причины травматизма при занятиях баскетболом и правила его предупреждения; </w:t>
      </w:r>
    </w:p>
    <w:p w14:paraId="587D96B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– владеть основами судейства игры в баскетбол</w:t>
      </w:r>
    </w:p>
    <w:p w14:paraId="650CC6E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imes New Roman" w:hAnsi="Times New Roman" w:eastAsia="Calibri" w:cs="Times New Roman"/>
          <w:i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 xml:space="preserve">В итоге реализации программы  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уча</w:t>
      </w: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 xml:space="preserve">щиеся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eastAsia="ar-SA"/>
        </w:rPr>
        <w:t>должны:</w:t>
      </w:r>
    </w:p>
    <w:p w14:paraId="3637312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851" w:firstLine="851"/>
        <w:jc w:val="both"/>
        <w:textAlignment w:val="auto"/>
        <w:rPr>
          <w:rFonts w:hint="default" w:ascii="Times New Roman" w:hAnsi="Times New Roman" w:eastAsia="Calibri" w:cs="Times New Roman"/>
          <w:b/>
          <w:sz w:val="24"/>
          <w:szCs w:val="24"/>
          <w:lang w:val="ru-RU" w:eastAsia="ar-SA"/>
        </w:rPr>
      </w:pPr>
      <w:r>
        <w:rPr>
          <w:rFonts w:hint="default" w:ascii="Times New Roman" w:hAnsi="Times New Roman" w:eastAsia="Calibri" w:cs="Times New Roman"/>
          <w:i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eastAsia="ar-SA"/>
        </w:rPr>
        <w:t>Знать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ar-SA"/>
        </w:rPr>
        <w:t>:</w:t>
      </w:r>
    </w:p>
    <w:p w14:paraId="7E65AFE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значение баскетбола в развитии физических способностей и совершенствовании функциональных возможностей организма занимающихся;</w:t>
      </w:r>
    </w:p>
    <w:p w14:paraId="1E1B4CF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правила безопасного поведения во время занятий по баскетболу;</w:t>
      </w:r>
    </w:p>
    <w:p w14:paraId="1863DA2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название разучиваемых технических приемов игры и основы правильной техники;</w:t>
      </w:r>
    </w:p>
    <w:p w14:paraId="49B3BAE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наиболее типичные ошибки при выполнении технических приемов и тактических действий;</w:t>
      </w:r>
    </w:p>
    <w:p w14:paraId="0F16932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упражнения на развитие физических способностей (скоростных, силовых, скоростно-силовых, координационных, выносливости и гибкости);</w:t>
      </w:r>
    </w:p>
    <w:p w14:paraId="7018FBF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контрольные упражнения (двигательные тесты) для оценивания физической и технической подготовленности и требования к технике и правилам их выполнения;</w:t>
      </w:r>
    </w:p>
    <w:p w14:paraId="09870BA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основное содержание правил соревнований по баскетболу;</w:t>
      </w:r>
    </w:p>
    <w:p w14:paraId="1CD7905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жесты баскетбольного судьи;</w:t>
      </w:r>
    </w:p>
    <w:p w14:paraId="14C91EB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игровые упражнения, подвижные игры и эстафеты с элементами баскетбола;</w:t>
      </w:r>
    </w:p>
    <w:p w14:paraId="02AB31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-143" w:firstLine="143"/>
        <w:contextualSpacing/>
        <w:jc w:val="both"/>
        <w:textAlignment w:val="auto"/>
        <w:rPr>
          <w:rFonts w:hint="default" w:ascii="Times New Roman" w:hAnsi="Times New Roman" w:eastAsia="Calibri" w:cs="Times New Roman"/>
          <w:b/>
          <w:sz w:val="24"/>
          <w:szCs w:val="24"/>
          <w:lang w:val="ru-RU" w:eastAsia="ar-SA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ar-SA"/>
        </w:rPr>
        <w:t>Уметь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ar-SA"/>
        </w:rPr>
        <w:t>:</w:t>
      </w:r>
    </w:p>
    <w:p w14:paraId="7CA687A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соблюдать меры безопасности и правила профилактики травматизма на занятиях по баскетболу;</w:t>
      </w:r>
    </w:p>
    <w:p w14:paraId="1BAF84A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выполнять технические приемы и тактические действия;</w:t>
      </w:r>
    </w:p>
    <w:p w14:paraId="37813A8F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контролировать свое самочувствие (функциональное состояние организма) на занятиях по баскетболу; играть в баскетбол с соблюдением основных правил;</w:t>
      </w:r>
    </w:p>
    <w:p w14:paraId="73B060C1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 xml:space="preserve"> демонстрировать жесты баскетбольного судьи;</w:t>
      </w:r>
    </w:p>
    <w:p w14:paraId="304DD3CB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firstLine="0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ar-SA"/>
        </w:rPr>
        <w:t>проводить судейство по баскетболу.</w:t>
      </w:r>
    </w:p>
    <w:p w14:paraId="31D62C60">
      <w:pPr>
        <w:widowControl w:val="0"/>
        <w:autoSpaceDE w:val="0"/>
        <w:autoSpaceDN w:val="0"/>
        <w:spacing w:after="0" w:line="240" w:lineRule="auto"/>
        <w:ind w:right="116" w:firstLine="567"/>
        <w:jc w:val="both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15836EB4">
      <w:pPr>
        <w:widowControl w:val="0"/>
        <w:autoSpaceDE w:val="0"/>
        <w:autoSpaceDN w:val="0"/>
        <w:spacing w:after="0" w:line="240" w:lineRule="auto"/>
        <w:ind w:right="116" w:firstLine="567"/>
        <w:jc w:val="both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23AC76F8">
      <w:pPr>
        <w:widowControl w:val="0"/>
        <w:autoSpaceDE w:val="0"/>
        <w:autoSpaceDN w:val="0"/>
        <w:spacing w:after="0" w:line="240" w:lineRule="auto"/>
        <w:ind w:right="116" w:firstLine="567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</w:rPr>
        <w:t>СОДЕРЖАНИЕ КУРСА ВНЕУРОЧНОЙ ДЕЯТЕЛЬНОСТИ</w:t>
      </w:r>
    </w:p>
    <w:p w14:paraId="1975B2E0">
      <w:pPr>
        <w:widowControl w:val="0"/>
        <w:autoSpaceDE w:val="0"/>
        <w:autoSpaceDN w:val="0"/>
        <w:spacing w:after="0" w:line="240" w:lineRule="auto"/>
        <w:ind w:right="116" w:firstLine="567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en-US"/>
        </w:rPr>
      </w:pPr>
    </w:p>
    <w:p w14:paraId="3F118747">
      <w:pPr>
        <w:spacing w:after="0" w:line="240" w:lineRule="auto"/>
        <w:ind w:left="-284" w:firstLine="851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1.Основы знаний(5 часов)</w:t>
      </w:r>
    </w:p>
    <w:p w14:paraId="5A4458BC">
      <w:pPr>
        <w:spacing w:after="0" w:line="240" w:lineRule="auto"/>
        <w:ind w:firstLine="567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Правила безопасности и профилактика травматизма на занятиях по баскетболу.Терминология в баскетболе. Техника выполнения игровых приемов.Тактические действия в баскетболе.Правила соревнований по баскетболу. Жесты судей.</w:t>
      </w:r>
    </w:p>
    <w:p w14:paraId="0F331739">
      <w:pPr>
        <w:spacing w:after="0" w:line="240" w:lineRule="auto"/>
        <w:ind w:firstLine="567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2.Передвижения и остановки без мяча(6 часов)</w:t>
      </w:r>
    </w:p>
    <w:p w14:paraId="194C2EE4">
      <w:pPr>
        <w:spacing w:after="0" w:line="240" w:lineRule="auto"/>
        <w:ind w:firstLine="851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Стойка игрока. Перемещения в защитной стойке: вперед, назад, вправо, влево.Бег: лицом вперед, приставными шагами в стороны, вперед и назад, спиной вперед. Скоростные рывки из различных исходных положени.Остановки: двумя шагами, прыжком.Прыжки, повороты вперед, назад.Сочетание способов передвижений (бег, остановки, прыжки, повороты, рывки).</w:t>
      </w:r>
    </w:p>
    <w:p w14:paraId="5E4375B6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3.Ловля и бросок мяча (6 часов)</w:t>
      </w:r>
    </w:p>
    <w:p w14:paraId="5241C4DF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Бросок мяча двумя руками от груди с места.Бросок мяча одной рукой от плеча с места.Бросок мяча одной рукой от плеча в движении после ведения.Бросок в кольцо одной рукой сверху в прыжке.Штрафной бросок.Ловля мяча: двумя руками на уровне груди,двумя руками «высокого» мяча (в прыжке).</w:t>
      </w:r>
    </w:p>
    <w:p w14:paraId="38347753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4.Передачи мяча(3 часа)</w:t>
      </w:r>
    </w:p>
    <w:p w14:paraId="13F0B2AB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Передача мяча двумя руками от груди на месте и в движении.Передача мяча одной рукой от плеча.Передача мяча двумя руками сверху.</w:t>
      </w:r>
    </w:p>
    <w:p w14:paraId="50E1B299">
      <w:pPr>
        <w:spacing w:after="0" w:line="240" w:lineRule="auto"/>
        <w:ind w:left="-143" w:firstLine="851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5.Ведение мяча( 5 часов)</w:t>
      </w:r>
    </w:p>
    <w:p w14:paraId="4310E7DA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Ведение мяча правой и левой рукой с высоким и низким отскоком (на месте и в движении).Ведение мяча с изменением скорости передвижения.Ведение мяча в движении с переводом на другую руку.Ведение мяча с изменением направления движения.Ведение мяча с обводкой препятствий.</w:t>
      </w:r>
    </w:p>
    <w:p w14:paraId="512FFFD1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6.Отбор мяча(3 часа)</w:t>
      </w:r>
    </w:p>
    <w:p w14:paraId="4F20B12D">
      <w:pPr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Выбивание мяча из рук соперника, выбивание мяча при ведении.Вырывание мяча из рук соперника.Накрывание мяча при броске.</w:t>
      </w:r>
    </w:p>
    <w:p w14:paraId="3439F1C7">
      <w:pPr>
        <w:spacing w:after="0" w:line="240" w:lineRule="auto"/>
        <w:ind w:firstLine="851"/>
        <w:contextualSpacing/>
        <w:jc w:val="both"/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7.Выполнение комбинаций из освоенных элементов техники перемещений и владения мячом (5 часов)</w:t>
      </w:r>
    </w:p>
    <w:p w14:paraId="7E1DC1AA">
      <w:pPr>
        <w:spacing w:after="0" w:line="240" w:lineRule="auto"/>
        <w:ind w:firstLine="851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Сочетание приемов без броска мяча в кольцо.Сочетание приемов с броском мяча в кольцо.Индивидуальные действия в нападении и защите.Групповые действия в нападении и защите:взаимодействие двух игроков;взаимодействие двух нападающих против одного защитник,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взаимодействие в нападении с участием двух игроков («передай мяч и выйди на свободное место»),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взаимодействие в нападении с участием трех игроков («тройка»).Двусторонняя учебная игра</w:t>
      </w:r>
    </w:p>
    <w:p w14:paraId="5636D0B3">
      <w:pPr>
        <w:spacing w:after="0" w:line="240" w:lineRule="auto"/>
        <w:ind w:left="-851" w:firstLine="851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eastAsia="en-US"/>
        </w:rPr>
        <w:t>Раздел 8.Судейская практика(1 час)</w:t>
      </w:r>
    </w:p>
    <w:p w14:paraId="16995F89">
      <w:pPr>
        <w:spacing w:after="0" w:line="240" w:lineRule="auto"/>
        <w:ind w:left="-851" w:firstLine="851"/>
        <w:contextualSpacing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>Судейство игры в баскетбол.</w:t>
      </w:r>
    </w:p>
    <w:p w14:paraId="12FB51C2">
      <w:pPr>
        <w:pStyle w:val="12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0C454B83">
      <w:pPr>
        <w:pStyle w:val="12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3FB3B915">
      <w:pPr>
        <w:pStyle w:val="12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Тематическое планирование. </w:t>
      </w:r>
    </w:p>
    <w:p w14:paraId="6CD01ED0">
      <w:pPr>
        <w:pStyle w:val="11"/>
        <w:spacing w:after="0" w:line="240" w:lineRule="auto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p w14:paraId="6A874B53">
      <w:pPr>
        <w:pStyle w:val="11"/>
        <w:spacing w:after="0" w:line="240" w:lineRule="auto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7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5777"/>
        <w:gridCol w:w="2728"/>
      </w:tblGrid>
      <w:tr w14:paraId="6A0F70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7" w:type="dxa"/>
            <w:vMerge w:val="restart"/>
          </w:tcPr>
          <w:p w14:paraId="073AF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раздела и тем</w:t>
            </w:r>
          </w:p>
        </w:tc>
        <w:tc>
          <w:tcPr>
            <w:tcW w:w="5777" w:type="dxa"/>
            <w:vMerge w:val="restart"/>
          </w:tcPr>
          <w:p w14:paraId="7C14C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28" w:type="dxa"/>
            <w:vMerge w:val="restart"/>
          </w:tcPr>
          <w:p w14:paraId="391EB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14:paraId="12050A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277" w:type="dxa"/>
            <w:vMerge w:val="continue"/>
          </w:tcPr>
          <w:p w14:paraId="6D559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vMerge w:val="continue"/>
          </w:tcPr>
          <w:p w14:paraId="06E98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continue"/>
          </w:tcPr>
          <w:p w14:paraId="492E5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D8B2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77" w:type="dxa"/>
          </w:tcPr>
          <w:p w14:paraId="667C2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77" w:type="dxa"/>
          </w:tcPr>
          <w:p w14:paraId="435A907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2728" w:type="dxa"/>
          </w:tcPr>
          <w:p w14:paraId="04658CD6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1E2FE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0245B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77" w:type="dxa"/>
          </w:tcPr>
          <w:p w14:paraId="4743069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Передвижения и остановки без мяча</w:t>
            </w:r>
          </w:p>
        </w:tc>
        <w:tc>
          <w:tcPr>
            <w:tcW w:w="2728" w:type="dxa"/>
          </w:tcPr>
          <w:p w14:paraId="71608088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0AC95A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2E172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77" w:type="dxa"/>
          </w:tcPr>
          <w:p w14:paraId="4A3D86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Ловля мяча и бросок мяча</w:t>
            </w:r>
          </w:p>
        </w:tc>
        <w:tc>
          <w:tcPr>
            <w:tcW w:w="2728" w:type="dxa"/>
          </w:tcPr>
          <w:p w14:paraId="35655061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3E385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699EE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77" w:type="dxa"/>
          </w:tcPr>
          <w:p w14:paraId="0F6395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Передачи мяча</w:t>
            </w:r>
          </w:p>
        </w:tc>
        <w:tc>
          <w:tcPr>
            <w:tcW w:w="2728" w:type="dxa"/>
          </w:tcPr>
          <w:p w14:paraId="7A6D0847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4FE5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0A8A3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77" w:type="dxa"/>
          </w:tcPr>
          <w:p w14:paraId="72BE52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2728" w:type="dxa"/>
          </w:tcPr>
          <w:p w14:paraId="0A616221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25C622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4AB34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77" w:type="dxa"/>
          </w:tcPr>
          <w:p w14:paraId="5A028F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Отбор мяча</w:t>
            </w:r>
          </w:p>
        </w:tc>
        <w:tc>
          <w:tcPr>
            <w:tcW w:w="2728" w:type="dxa"/>
          </w:tcPr>
          <w:p w14:paraId="2F352B2D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CE50D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76219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77" w:type="dxa"/>
          </w:tcPr>
          <w:p w14:paraId="02CF9A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Выполнение комбинаций из освоенных элементов техники перемещений и владения мячом</w:t>
            </w:r>
          </w:p>
        </w:tc>
        <w:tc>
          <w:tcPr>
            <w:tcW w:w="2728" w:type="dxa"/>
          </w:tcPr>
          <w:p w14:paraId="7165E3E7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6270A6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55B82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77" w:type="dxa"/>
          </w:tcPr>
          <w:p w14:paraId="13CFFF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2728" w:type="dxa"/>
          </w:tcPr>
          <w:p w14:paraId="2D8856A4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7B887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77" w:type="dxa"/>
          </w:tcPr>
          <w:p w14:paraId="3D37E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14:paraId="23C0A316">
            <w:pPr>
              <w:pStyle w:val="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28" w:type="dxa"/>
          </w:tcPr>
          <w:p w14:paraId="303D38CB">
            <w:pPr>
              <w:pStyle w:val="1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3D29BBB4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C0B225B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70FF505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631A6F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D81EFD7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50C643B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2E7F594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FAE8100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3DBBA5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8683617">
      <w:pPr>
        <w:widowControl w:val="0"/>
        <w:tabs>
          <w:tab w:val="left" w:leader="underscore" w:pos="5122"/>
        </w:tabs>
        <w:spacing w:after="0" w:line="300" w:lineRule="auto"/>
        <w:jc w:val="center"/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  <w:t>ОЦЕНОЧНЫЕ МАТЕРИАЛЫ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>к дополнительной общеобразовательной общеразвивающей программе</w:t>
      </w:r>
    </w:p>
    <w:p w14:paraId="224C9D21">
      <w:pPr>
        <w:widowControl w:val="0"/>
        <w:tabs>
          <w:tab w:val="left" w:leader="underscore" w:pos="5122"/>
        </w:tabs>
        <w:spacing w:after="0" w:line="300" w:lineRule="auto"/>
        <w:jc w:val="center"/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 xml:space="preserve"> «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lang w:val="ru-RU"/>
        </w:rPr>
        <w:t>Веселый мяч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>!»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lang w:val="ru-RU"/>
        </w:rPr>
        <w:t>(волейбол)</w:t>
      </w:r>
    </w:p>
    <w:p w14:paraId="39C8E09A">
      <w:pPr>
        <w:widowControl w:val="0"/>
        <w:spacing w:after="0" w:line="300" w:lineRule="auto"/>
        <w:jc w:val="center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  <w:t>Виды контроля</w:t>
      </w:r>
    </w:p>
    <w:tbl>
      <w:tblPr>
        <w:tblStyle w:val="4"/>
        <w:tblW w:w="9821" w:type="dxa"/>
        <w:tblInd w:w="-13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4"/>
        <w:gridCol w:w="79"/>
        <w:gridCol w:w="4891"/>
        <w:gridCol w:w="3197"/>
      </w:tblGrid>
      <w:tr w14:paraId="5F889C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exact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76DDC8">
            <w:pPr>
              <w:widowControl w:val="0"/>
              <w:spacing w:after="0" w:line="30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40BA4C">
            <w:pPr>
              <w:widowControl w:val="0"/>
              <w:spacing w:after="0" w:line="300" w:lineRule="auto"/>
              <w:ind w:firstLine="567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BFF123">
            <w:pPr>
              <w:widowControl w:val="0"/>
              <w:spacing w:after="0" w:line="300" w:lineRule="auto"/>
              <w:ind w:firstLine="28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Формы контроля</w:t>
            </w:r>
          </w:p>
        </w:tc>
      </w:tr>
      <w:tr w14:paraId="08B399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98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C17556F">
            <w:pPr>
              <w:widowControl w:val="0"/>
              <w:spacing w:after="0" w:line="300" w:lineRule="auto"/>
              <w:ind w:firstLine="567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Начальный или входной контроль</w:t>
            </w:r>
          </w:p>
        </w:tc>
      </w:tr>
      <w:tr w14:paraId="063CFC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exact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13634A">
            <w:pPr>
              <w:widowControl w:val="0"/>
              <w:spacing w:after="0" w:line="30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0B4D00D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A480B01">
            <w:pPr>
              <w:widowControl w:val="0"/>
              <w:spacing w:after="0" w:line="300" w:lineRule="auto"/>
              <w:ind w:firstLine="28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>Беседа, опрос (теория)  и др.</w:t>
            </w:r>
          </w:p>
        </w:tc>
      </w:tr>
      <w:tr w14:paraId="3E0B45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98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B3CFCE8">
            <w:pPr>
              <w:widowControl w:val="0"/>
              <w:spacing w:after="0" w:line="300" w:lineRule="auto"/>
              <w:ind w:firstLine="567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Промежуточная аттестация</w:t>
            </w:r>
          </w:p>
        </w:tc>
      </w:tr>
      <w:tr w14:paraId="2DDFBF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3" w:hRule="exact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FBA1D5">
            <w:pPr>
              <w:widowControl w:val="0"/>
              <w:spacing w:after="0" w:line="30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0F1AC51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 xml:space="preserve">Определение степени усвоения обучающимися учебного материала в рамках определенной темы. Определение готовности обучающихся к восприятию нового материала. </w:t>
            </w:r>
          </w:p>
          <w:p w14:paraId="334CC267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14:paraId="1B934454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>Выявление обучающихся, отстающих и опережающих обучение.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5A9C1D6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>Педагогическое наблюдение, опрос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 w14:paraId="444D73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98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A9201AB">
            <w:pPr>
              <w:widowControl w:val="0"/>
              <w:spacing w:after="0" w:line="300" w:lineRule="auto"/>
              <w:ind w:firstLine="567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14:paraId="6B77E7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14" w:hRule="exact"/>
        </w:trPr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3BA8154">
            <w:pPr>
              <w:widowControl w:val="0"/>
              <w:spacing w:after="0" w:line="30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D03C10B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14:paraId="731EC51D">
            <w:pPr>
              <w:widowControl w:val="0"/>
              <w:spacing w:after="0" w:line="30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316BA7">
            <w:pPr>
              <w:widowControl w:val="0"/>
              <w:tabs>
                <w:tab w:val="left" w:leader="underscore" w:pos="3062"/>
              </w:tabs>
              <w:spacing w:after="0" w:line="300" w:lineRule="auto"/>
              <w:ind w:firstLine="28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</w:rPr>
              <w:t>Итоговое занятие</w:t>
            </w:r>
          </w:p>
          <w:p w14:paraId="1D7B496F">
            <w:pPr>
              <w:widowControl w:val="0"/>
              <w:tabs>
                <w:tab w:val="left" w:leader="underscore" w:pos="3062"/>
              </w:tabs>
              <w:spacing w:after="0" w:line="300" w:lineRule="auto"/>
              <w:ind w:firstLine="28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lang w:val="ru-RU"/>
              </w:rPr>
              <w:t>Итоговые игры-соревнования.</w:t>
            </w:r>
          </w:p>
        </w:tc>
      </w:tr>
    </w:tbl>
    <w:p w14:paraId="67BAD027">
      <w:pPr>
        <w:widowControl w:val="0"/>
        <w:spacing w:before="240" w:after="0" w:line="300" w:lineRule="auto"/>
        <w:ind w:firstLine="567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</w:pPr>
    </w:p>
    <w:p w14:paraId="7248F7C6">
      <w:pPr>
        <w:widowControl w:val="0"/>
        <w:spacing w:before="240" w:after="0" w:line="300" w:lineRule="auto"/>
        <w:ind w:firstLine="567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  <w:t>Способы определения результативности</w:t>
      </w:r>
    </w:p>
    <w:p w14:paraId="437BFF1E">
      <w:pPr>
        <w:widowControl w:val="0"/>
        <w:spacing w:after="0" w:line="300" w:lineRule="auto"/>
        <w:ind w:firstLine="567"/>
        <w:jc w:val="both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>- Педагогическое наблюдение.</w:t>
      </w:r>
    </w:p>
    <w:p w14:paraId="259C4104">
      <w:pPr>
        <w:widowControl w:val="0"/>
        <w:tabs>
          <w:tab w:val="left" w:pos="426"/>
        </w:tabs>
        <w:spacing w:after="0" w:line="300" w:lineRule="auto"/>
        <w:ind w:firstLine="567"/>
        <w:jc w:val="both"/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 xml:space="preserve">- Педагогический анализ результатов опросов, выполнения обучающимися 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lang w:val="ru-RU"/>
        </w:rPr>
        <w:t>практических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 xml:space="preserve"> заданий, участия обучающихся в мероприятиях (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lang w:val="ru-RU"/>
        </w:rPr>
        <w:t>спортивные игры</w:t>
      </w: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  <w:t>), активности обучающихся на занятиях и т.п</w:t>
      </w:r>
    </w:p>
    <w:p w14:paraId="05DF48A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Материально-техническое обеспечение программы:</w:t>
      </w:r>
    </w:p>
    <w:p w14:paraId="5D22135D">
      <w:pPr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Большой спортивный зал, соответствующий санитарно-гигиеническим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требованиям по площади и уровню освещения, температурному режиму, в спортивном зале имеются инструкции по охране труда, правила поведения на занятиях, инструкция по противопожарной безопасности. </w:t>
      </w:r>
    </w:p>
    <w:p w14:paraId="43254BC3">
      <w:pPr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Мячи баскетбольные. Баскетбольные щиты с кольцами. Конусы разметочные для обводки.</w:t>
      </w:r>
    </w:p>
    <w:p w14:paraId="0010CDF0">
      <w:pPr>
        <w:widowControl w:val="0"/>
        <w:tabs>
          <w:tab w:val="left" w:pos="426"/>
        </w:tabs>
        <w:spacing w:after="0" w:line="300" w:lineRule="auto"/>
        <w:ind w:firstLine="567"/>
        <w:jc w:val="both"/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1" w:name="_GoBack"/>
      <w:bookmarkEnd w:id="1"/>
    </w:p>
    <w:p w14:paraId="105E482A"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E0976D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0C221A2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</w:rPr>
        <w:t>ОБЯЗАТЕЛЬНЫЕ УЧЕБНЫЕ МАТЕРИАЛЫ ДЛЯ УЧЕНИКА</w:t>
      </w:r>
    </w:p>
    <w:p w14:paraId="135265D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​‌ Физическая культура, 5-9 классы/ Виленский М.Я., Туревский И.М., Торочкова Т.Ю. и другие; под редакцией Виленского М.Я., Акционерное общество «Издательство «Просвещение»‌​</w:t>
      </w:r>
    </w:p>
    <w:p w14:paraId="5B1AE0B8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​‌‌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</w:rPr>
        <w:t>МЕТОДИЧЕСКИЕ МАТЕРИАЛЫ ДЛЯ УЧИТЕЛЯ</w:t>
      </w:r>
    </w:p>
    <w:p w14:paraId="312BE257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​‌Программа по физической культуре для 5 – 9 классов В.И. Ляха. Линия учебников М.Я. Виленского, В.И. Ляха: Физическая культура. 9 кл.: учебник под редакцией М.Я. Виленского – 7-е изд., Москва «Просвещение» 2018 г.‌​</w:t>
      </w:r>
    </w:p>
    <w:p w14:paraId="7B96E1DE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  <w:t>Виленский М.Я. Физическая культура. Методические рекомендации. 5-7: пособие для учителей общеобразовательных организаций – 2-е</w:t>
      </w:r>
    </w:p>
    <w:p w14:paraId="6663FFAD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1A1A1A"/>
          <w:sz w:val="24"/>
          <w:szCs w:val="24"/>
        </w:rPr>
        <w:t xml:space="preserve">изд. – М.: : просвещение 2014 – 142с.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Физическая культура, 9 класс/ Матвеев А.П., Акционерное общество "Издательство "Просвещение"</w:t>
      </w:r>
    </w:p>
    <w:p w14:paraId="2723B2D0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en-US"/>
        </w:rPr>
        <w:t>Физическая культура, 10-11 классы/ Лях В.И., Акционерное общество «Издательство «Просвещение»‌​</w:t>
      </w:r>
    </w:p>
    <w:p w14:paraId="25547DC5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3569B3F3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​‌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Спортивная энциклопедия: http://ru.sport-wiki.org/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РЭШ Физическая культура: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"https://resh.edu.ru/subject/9/"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Times New Roman" w:cs="Times New Roman"/>
          <w:color w:val="0563C1"/>
          <w:sz w:val="24"/>
          <w:szCs w:val="24"/>
          <w:u w:val="single"/>
        </w:rPr>
        <w:t>https://resh.edu.ru/subject/9/</w:t>
      </w:r>
      <w:r>
        <w:rPr>
          <w:rFonts w:hint="default" w:ascii="Times New Roman" w:hAnsi="Times New Roman" w:eastAsia="Times New Roman" w:cs="Times New Roman"/>
          <w:color w:val="0563C1"/>
          <w:sz w:val="24"/>
          <w:szCs w:val="24"/>
          <w:u w:val="single"/>
        </w:rPr>
        <w:fldChar w:fldCharType="end"/>
      </w:r>
    </w:p>
    <w:p w14:paraId="6EE0B841">
      <w:pPr>
        <w:spacing w:after="0"/>
        <w:rPr>
          <w:rFonts w:hint="default"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134" w:right="1134" w:bottom="850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714188"/>
      <w:docPartObj>
        <w:docPartGallery w:val="AutoText"/>
      </w:docPartObj>
    </w:sdtPr>
    <w:sdtContent>
      <w:p w14:paraId="218803BC">
        <w:pPr>
          <w:pStyle w:val="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040ADA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71086"/>
    <w:multiLevelType w:val="multilevel"/>
    <w:tmpl w:val="07771086"/>
    <w:lvl w:ilvl="0" w:tentative="0">
      <w:start w:val="1"/>
      <w:numFmt w:val="bullet"/>
      <w:lvlText w:val=""/>
      <w:lvlJc w:val="left"/>
      <w:pPr>
        <w:ind w:left="40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12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4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6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8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0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2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4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69" w:hanging="360"/>
      </w:pPr>
      <w:rPr>
        <w:rFonts w:hint="default" w:ascii="Wingdings" w:hAnsi="Wingdings"/>
      </w:rPr>
    </w:lvl>
  </w:abstractNum>
  <w:abstractNum w:abstractNumId="1">
    <w:nsid w:val="6AE3506D"/>
    <w:multiLevelType w:val="multilevel"/>
    <w:tmpl w:val="6AE3506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AED3091"/>
    <w:multiLevelType w:val="multilevel"/>
    <w:tmpl w:val="7AED309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7D6A4E"/>
    <w:rsid w:val="000105C5"/>
    <w:rsid w:val="000376E4"/>
    <w:rsid w:val="0006714E"/>
    <w:rsid w:val="00084066"/>
    <w:rsid w:val="000C4DF4"/>
    <w:rsid w:val="000D6CA1"/>
    <w:rsid w:val="000F310C"/>
    <w:rsid w:val="001335E1"/>
    <w:rsid w:val="00150F7A"/>
    <w:rsid w:val="00152C57"/>
    <w:rsid w:val="001A0EB7"/>
    <w:rsid w:val="001B68DF"/>
    <w:rsid w:val="001C5D55"/>
    <w:rsid w:val="001F16C5"/>
    <w:rsid w:val="001F4DAC"/>
    <w:rsid w:val="00200960"/>
    <w:rsid w:val="00225ABF"/>
    <w:rsid w:val="002A0F05"/>
    <w:rsid w:val="002D4337"/>
    <w:rsid w:val="00306770"/>
    <w:rsid w:val="00353BEF"/>
    <w:rsid w:val="0037094C"/>
    <w:rsid w:val="003E452D"/>
    <w:rsid w:val="005370E7"/>
    <w:rsid w:val="005A653E"/>
    <w:rsid w:val="00641553"/>
    <w:rsid w:val="006C3077"/>
    <w:rsid w:val="007210DD"/>
    <w:rsid w:val="007303FD"/>
    <w:rsid w:val="00736FB2"/>
    <w:rsid w:val="007855C3"/>
    <w:rsid w:val="007B5412"/>
    <w:rsid w:val="007D5828"/>
    <w:rsid w:val="007D6A4E"/>
    <w:rsid w:val="00881C15"/>
    <w:rsid w:val="008A3BB9"/>
    <w:rsid w:val="008C73E9"/>
    <w:rsid w:val="00964CC6"/>
    <w:rsid w:val="009823BE"/>
    <w:rsid w:val="00A124C5"/>
    <w:rsid w:val="00A166A1"/>
    <w:rsid w:val="00AB170E"/>
    <w:rsid w:val="00B208FC"/>
    <w:rsid w:val="00B66097"/>
    <w:rsid w:val="00B7062E"/>
    <w:rsid w:val="00B77275"/>
    <w:rsid w:val="00B87257"/>
    <w:rsid w:val="00BA4AF8"/>
    <w:rsid w:val="00BC448E"/>
    <w:rsid w:val="00BE3B53"/>
    <w:rsid w:val="00C424E1"/>
    <w:rsid w:val="00C81F96"/>
    <w:rsid w:val="00C96216"/>
    <w:rsid w:val="00CA7876"/>
    <w:rsid w:val="00CE62F2"/>
    <w:rsid w:val="00D0120D"/>
    <w:rsid w:val="00D16FCF"/>
    <w:rsid w:val="00D3794B"/>
    <w:rsid w:val="00D64689"/>
    <w:rsid w:val="00E121B0"/>
    <w:rsid w:val="00E13F43"/>
    <w:rsid w:val="00E40038"/>
    <w:rsid w:val="00E531FA"/>
    <w:rsid w:val="00E87C53"/>
    <w:rsid w:val="00EF5122"/>
    <w:rsid w:val="00F06C43"/>
    <w:rsid w:val="00F3732E"/>
    <w:rsid w:val="00FC46D3"/>
    <w:rsid w:val="00FF7930"/>
    <w:rsid w:val="4A1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qFormat/>
    <w:uiPriority w:val="1"/>
    <w:pPr>
      <w:spacing w:before="240"/>
      <w:ind w:left="99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paragraph" w:styleId="6">
    <w:name w:val="header"/>
    <w:basedOn w:val="1"/>
    <w:link w:val="1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qFormat/>
    <w:uiPriority w:val="1"/>
    <w:pPr>
      <w:widowControl w:val="0"/>
      <w:autoSpaceDE w:val="0"/>
      <w:autoSpaceDN w:val="0"/>
      <w:spacing w:before="0" w:after="0" w:line="240" w:lineRule="auto"/>
      <w:ind w:left="861" w:right="0" w:hanging="36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styleId="12">
    <w:name w:val="No Spacing"/>
    <w:link w:val="13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3">
    <w:name w:val="Без интервала Знак"/>
    <w:link w:val="12"/>
    <w:qFormat/>
    <w:uiPriority w:val="1"/>
    <w:rPr>
      <w:rFonts w:ascii="Calibri" w:hAnsi="Calibri" w:eastAsia="Calibri" w:cs="Times New Roman"/>
      <w:lang w:eastAsia="en-US"/>
    </w:rPr>
  </w:style>
  <w:style w:type="paragraph" w:customStyle="1" w:styleId="14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rial" w:cs="Tahoma"/>
      <w:kern w:val="3"/>
      <w:sz w:val="24"/>
      <w:szCs w:val="24"/>
      <w:lang w:val="ru-RU" w:eastAsia="ru-RU" w:bidi="ar-SA"/>
    </w:rPr>
  </w:style>
  <w:style w:type="character" w:customStyle="1" w:styleId="15">
    <w:name w:val="Верхний колонтитул Знак"/>
    <w:basedOn w:val="3"/>
    <w:link w:val="6"/>
    <w:semiHidden/>
    <w:qFormat/>
    <w:uiPriority w:val="99"/>
  </w:style>
  <w:style w:type="character" w:customStyle="1" w:styleId="16">
    <w:name w:val="Нижний колонтитул Знак"/>
    <w:basedOn w:val="3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2054</Words>
  <Characters>11713</Characters>
  <Lines>97</Lines>
  <Paragraphs>27</Paragraphs>
  <TotalTime>4</TotalTime>
  <ScaleCrop>false</ScaleCrop>
  <LinksUpToDate>false</LinksUpToDate>
  <CharactersWithSpaces>13740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2017-01-06T09:13:00Z</dcterms:created>
  <dc:creator>Анастасия</dc:creator>
  <cp:lastModifiedBy>WPS_1634235915</cp:lastModifiedBy>
  <cp:lastPrinted>2024-09-01T15:13:00Z</cp:lastPrinted>
  <dcterms:modified xsi:type="dcterms:W3CDTF">2025-08-28T18:04:06Z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A06335A071C94136A21A4552556F28AB_12</vt:lpwstr>
  </property>
</Properties>
</file>