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922" w:type="dxa"/>
        <w:jc w:val="right"/>
        <w:tblInd w:w="-1522" w:type="dxa"/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1727"/>
        <w:gridCol w:w="8195"/>
      </w:tblGrid>
      <w:tr>
        <w:trPr/>
        <w:tc>
          <w:tcPr>
            <w:tcW w:w="1727" w:type="dxa"/>
            <w:textDirection w:val="lrTb"/>
            <w:noWrap w:val="false"/>
          </w:tcPr>
          <w:p>
            <w:pPr>
              <w:pStyle w:val="611"/>
            </w:pPr>
            <w:r/>
            <w:r/>
          </w:p>
        </w:tc>
        <w:tc>
          <w:tcPr>
            <w:tcMar>
              <w:left w:w="60" w:type="dxa"/>
              <w:top w:w="60" w:type="dxa"/>
              <w:right w:w="60" w:type="dxa"/>
              <w:bottom w:w="60" w:type="dxa"/>
            </w:tcMar>
            <w:tcW w:w="8195" w:type="dxa"/>
            <w:vAlign w:val="center"/>
            <w:textDirection w:val="lrTb"/>
            <w:noWrap w:val="false"/>
          </w:tcPr>
          <w:p>
            <w:pPr>
              <w:pStyle w:val="599"/>
            </w:pPr>
            <w:r/>
            <w:r/>
          </w:p>
        </w:tc>
      </w:tr>
      <w:tr>
        <w:trPr/>
        <w:tc>
          <w:tcPr>
            <w:gridSpan w:val="2"/>
            <w:tcMar>
              <w:left w:w="150" w:type="dxa"/>
              <w:top w:w="60" w:type="dxa"/>
              <w:right w:w="150" w:type="dxa"/>
              <w:bottom w:w="60" w:type="dxa"/>
            </w:tcMar>
            <w:tcW w:w="9922" w:type="dxa"/>
            <w:textDirection w:val="lrTb"/>
            <w:noWrap w:val="false"/>
          </w:tcPr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99262" cy="8648160"/>
                      <wp:effectExtent l="0" t="0" r="0" b="0"/>
                      <wp:docPr id="1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0839487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199262" cy="8648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488.1pt;height:681.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sz w:val="27"/>
                <w:szCs w:val="27"/>
              </w:rPr>
              <w:t xml:space="preserve">3.6. Срок пользования может быть продлен, если на данный документ</w:t>
            </w:r>
            <w:r>
              <w:t xml:space="preserve"> </w:t>
            </w:r>
            <w:r>
              <w:rPr>
                <w:sz w:val="27"/>
                <w:szCs w:val="27"/>
              </w:rPr>
              <w:t xml:space="preserve">нет спроса со стороны других читателей.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  </w:t>
            </w:r>
            <w:r>
              <w:rPr>
                <w:sz w:val="27"/>
                <w:szCs w:val="27"/>
              </w:rPr>
              <w:t xml:space="preserve">3.7. Учебная, методическая л</w:t>
            </w:r>
            <w:r>
              <w:rPr>
                <w:sz w:val="27"/>
                <w:szCs w:val="27"/>
              </w:rPr>
              <w:t xml:space="preserve">итература выдается читателям на срок обучения в соответствии с программой ( с обязательной перерегистрацией в начале , конце учебного года). Литературные произведения, изучаемые по программе на уроках, выдаются на срок в соответствии с программой изучения.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3.8. Очередная выдача документов из фонда библиотеки читателю производится только после возврата взятых им ранее, срок пользования которыми истек.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3.9. Редкие и ценные книги,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альбомы, единственные экземпляры справочных изданий, а также электронные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носители информации на дом не выдаются.</w:t>
            </w:r>
            <w:r/>
          </w:p>
          <w:p>
            <w:pPr>
              <w:pStyle w:val="599"/>
              <w:jc w:val="center"/>
              <w:spacing w:before="30" w:after="30"/>
              <w:rPr>
                <w:sz w:val="32"/>
                <w:szCs w:val="32"/>
              </w:rPr>
            </w:pPr>
            <w:r>
              <w:rPr>
                <w:rStyle w:val="602"/>
                <w:color w:val="0000FF"/>
                <w:sz w:val="32"/>
                <w:szCs w:val="32"/>
              </w:rPr>
              <w:t xml:space="preserve">4. Ответственность и обязанности читателей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4.1. При записи в библиотеку читатель обязан сообщить необходимые сведения для заполнения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принятых библиотекой регистрационных документов.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4.2. При выбытии из школы читатель обязан вернуть все числящие за ним документы из фонда библиотеки.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4.3. Читатель обязан: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  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- возвращать взятые им документы из фонда в установленный библиотекой срок;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  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-не выносить из помещения библиотеки документы без записи в принятых библиотекой формах учета;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  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-бережно относиться к библиотечному фонду (не делать в книгах пометок, подчеркиваний, не вырывать и не загибать страницы); 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  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-соблюдать в библиотеке тишину, не нарушать порядок расстановки книг на полках открытого доступа в фонде.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4.4. При получении документов из фонда читатель обязан тщательно их просмотреть и в случае обнаружения каких-либо дефектов сообщить при этом библиотекарю, который обязан сделать на них соответствующие пометки.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4.5. Утраченный документ из фонда библиотеки или нанесенный ему невосполнимый ущерб, читатель обязан заменить его соответственно таким же, или признанный библиотекой равнозначным.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4.6. За утерю документа из фонда библиотеки или нанесение ему невосполнимого ущерба несовершеннолетним читателем   ответственность несут его родители или опекуны, попечители, под надзором которых он находится.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4.7. Читатели, нарушившие </w:t>
            </w:r>
            <w:r>
              <w:rPr>
                <w:sz w:val="27"/>
                <w:szCs w:val="27"/>
              </w:rPr>
              <w:t xml:space="preserve">Правила пользования библиотекой, могут быть лишены права пользования на срок, установленной библиотекой. За особые нарушения, предусмотренные действующим законодательством, читатели несут административную, гражданско-правовую или уголовную ответственность.</w:t>
            </w:r>
            <w:r/>
          </w:p>
          <w:p>
            <w:pPr>
              <w:pStyle w:val="599"/>
              <w:jc w:val="center"/>
              <w:spacing w:before="30" w:after="3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Style w:val="602"/>
                <w:color w:val="0000FF"/>
                <w:sz w:val="32"/>
                <w:szCs w:val="32"/>
              </w:rPr>
              <w:t xml:space="preserve">5. Обязанности библиотеки по обслуживанию читателей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5.1. Обслуживать читателей в соответствии с Правилами пользования библиотекой, которые должны быть размещены в доступном для ознакомления месте.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5.2. Создавать благоприятные условия для работы читателей в библиотеке.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5.3. Не использовать сведения о читателях, их интересов в иных целях,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кроме научных и библиотечно- производственных.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5.4. Давать полную информацию читателям о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наличии документов в фонде.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5.5. Оказать помощь читателям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в выборе необходимой литературы.</w:t>
            </w:r>
            <w:r/>
          </w:p>
          <w:p>
            <w:pPr>
              <w:pStyle w:val="599"/>
              <w:spacing w:before="30" w:after="30"/>
            </w:pPr>
            <w:r>
              <w:rPr>
                <w:sz w:val="27"/>
                <w:szCs w:val="27"/>
              </w:rPr>
              <w:t xml:space="preserve">5.6. 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Предоставлять читателям возможность пользования каталогами, картотеками, библиографическими и информационными материалами.</w:t>
            </w:r>
            <w:r/>
          </w:p>
          <w:p>
            <w:pPr>
              <w:pStyle w:val="599"/>
              <w:spacing w:before="30" w:after="3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5.7. Систематически информировать читателей о вновь поступивших документах.</w:t>
            </w:r>
            <w:r/>
          </w:p>
          <w:p>
            <w:pPr>
              <w:pStyle w:val="599"/>
              <w:spacing w:before="30" w:after="30" w:line="0" w:lineRule="atLeast"/>
            </w:pPr>
            <w:r>
              <w:rPr>
                <w:sz w:val="27"/>
                <w:szCs w:val="27"/>
              </w:rPr>
              <w:t xml:space="preserve">5.8.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 Систематически следить за своевременным возвратом в библиотеку документов из фонда и за </w:t>
            </w:r>
            <w:r>
              <w:rPr>
                <w:rStyle w:val="603"/>
                <w:sz w:val="27"/>
                <w:szCs w:val="27"/>
              </w:rPr>
              <w:t xml:space="preserve"> </w:t>
            </w:r>
            <w:r>
              <w:rPr>
                <w:sz w:val="27"/>
                <w:szCs w:val="27"/>
              </w:rPr>
              <w:t xml:space="preserve">выполнением читателями Правил пользования библиотекой.</w:t>
            </w:r>
            <w:r/>
          </w:p>
        </w:tc>
      </w:tr>
      <w:tr>
        <w:trPr>
          <w:trHeight w:val="23"/>
        </w:trPr>
        <w:tc>
          <w:tcPr>
            <w:tcW w:w="1727" w:type="dxa"/>
            <w:textDirection w:val="lrTb"/>
            <w:noWrap w:val="false"/>
          </w:tcPr>
          <w:p>
            <w:pPr>
              <w:pStyle w:val="5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Mar>
              <w:left w:w="60" w:type="dxa"/>
              <w:top w:w="45" w:type="dxa"/>
              <w:right w:w="60" w:type="dxa"/>
              <w:bottom w:w="45" w:type="dxa"/>
            </w:tcMar>
            <w:tcW w:w="8195" w:type="dxa"/>
            <w:vAlign w:val="bottom"/>
            <w:textDirection w:val="lrTb"/>
            <w:noWrap w:val="false"/>
          </w:tcPr>
          <w:tbl>
            <w:tblPr>
              <w:tblW w:w="429" w:type="dxa"/>
              <w:jc w:val="right"/>
              <w:tblInd w:w="0" w:type="dxa"/>
              <w:tblLayout w:type="fixed"/>
              <w:tblCellMar>
                <w:left w:w="60" w:type="dxa"/>
                <w:top w:w="60" w:type="dxa"/>
                <w:right w:w="60" w:type="dxa"/>
                <w:bottom w:w="60" w:type="dxa"/>
              </w:tblCellMar>
              <w:tblLook w:val="04A0" w:firstRow="1" w:lastRow="0" w:firstColumn="1" w:lastColumn="0" w:noHBand="0" w:noVBand="1"/>
            </w:tblPr>
            <w:tblGrid>
              <w:gridCol w:w="143"/>
              <w:gridCol w:w="143"/>
              <w:gridCol w:w="143"/>
            </w:tblGrid>
            <w:tr>
              <w:trPr/>
              <w:tc>
                <w:tcPr>
                  <w:tcW w:w="143" w:type="dxa"/>
                  <w:vAlign w:val="center"/>
                  <w:textDirection w:val="lrTb"/>
                  <w:noWrap w:val="false"/>
                </w:tcPr>
                <w:p>
                  <w:pPr>
                    <w:pStyle w:val="59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  <w:r/>
                </w:p>
              </w:tc>
              <w:tc>
                <w:tcPr>
                  <w:tcW w:w="143" w:type="dxa"/>
                  <w:vAlign w:val="center"/>
                  <w:textDirection w:val="lrTb"/>
                  <w:noWrap w:val="false"/>
                </w:tcPr>
                <w:p>
                  <w:pPr>
                    <w:pStyle w:val="59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  <w:r/>
                </w:p>
              </w:tc>
              <w:tc>
                <w:tcPr>
                  <w:tcW w:w="143" w:type="dxa"/>
                  <w:vAlign w:val="center"/>
                  <w:textDirection w:val="lrTb"/>
                  <w:noWrap w:val="false"/>
                </w:tcPr>
                <w:p>
                  <w:pPr>
                    <w:pStyle w:val="59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  <w:r/>
                </w:p>
              </w:tc>
            </w:tr>
          </w:tbl>
          <w:p>
            <w:pPr>
              <w:pStyle w:val="599"/>
              <w:jc w:val="right"/>
              <w:spacing w:line="15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</w:tbl>
    <w:p>
      <w:pPr>
        <w:pStyle w:val="609"/>
        <w:jc w:val="center"/>
        <w:spacing w:before="0" w:after="0" w:line="315" w:lineRule="atLeast"/>
        <w:shd w:val="clear" w:color="auto" w:fill="ffffff"/>
      </w:pPr>
      <w:r/>
      <w:r/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DejaVu Sans">
    <w:panose1 w:val="020B0603030804020204"/>
  </w:font>
  <w:font w:name="Times New Roman">
    <w:panose1 w:val="020206030504050203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pStyle w:val="600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DejaVu Sans" w:eastAsia="DejaVu Sans" w:hint="default"/>
        <w:sz w:val="24"/>
        <w:szCs w:val="24"/>
        <w:lang w:val="en-US" w:bidi="hi-IN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9"/>
    <w:link w:val="600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9"/>
    <w:next w:val="599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9"/>
    <w:next w:val="599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9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599"/>
    <w:next w:val="599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599"/>
    <w:next w:val="599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599"/>
    <w:next w:val="599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9"/>
    <w:next w:val="599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9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599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character" w:styleId="45">
    <w:name w:val="Caption Char"/>
    <w:basedOn w:val="607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9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599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  <w:pPr>
      <w:widowControl/>
    </w:pPr>
    <w:rPr>
      <w:rFonts w:ascii="Times New Roman" w:hAnsi="Times New Roman" w:cs="Times New Roman" w:eastAsia="Times New Roman"/>
      <w:color w:val="auto"/>
      <w:sz w:val="24"/>
      <w:szCs w:val="24"/>
      <w:lang w:val="ru-RU" w:bidi="ar-SA" w:eastAsia="zh-CN"/>
    </w:rPr>
  </w:style>
  <w:style w:type="paragraph" w:styleId="600">
    <w:name w:val="Heading 1"/>
    <w:basedOn w:val="599"/>
    <w:next w:val="605"/>
    <w:qFormat/>
    <w:pPr>
      <w:numPr>
        <w:ilvl w:val="0"/>
        <w:numId w:val="1"/>
      </w:numPr>
      <w:spacing w:before="280" w:after="280"/>
      <w:outlineLvl w:val="0"/>
    </w:pPr>
    <w:rPr>
      <w:b/>
      <w:bCs/>
      <w:sz w:val="48"/>
      <w:szCs w:val="48"/>
    </w:rPr>
  </w:style>
  <w:style w:type="character" w:styleId="601">
    <w:name w:val="Основной шрифт абзаца"/>
    <w:qFormat/>
  </w:style>
  <w:style w:type="character" w:styleId="602">
    <w:name w:val="Strong Emphasis"/>
    <w:basedOn w:val="601"/>
    <w:qFormat/>
    <w:rPr>
      <w:b/>
      <w:bCs/>
    </w:rPr>
  </w:style>
  <w:style w:type="character" w:styleId="603">
    <w:name w:val="apple-converted-space"/>
    <w:basedOn w:val="601"/>
    <w:qFormat/>
  </w:style>
  <w:style w:type="paragraph" w:styleId="604">
    <w:name w:val="Heading"/>
    <w:basedOn w:val="599"/>
    <w:next w:val="605"/>
    <w:qFormat/>
    <w:pPr>
      <w:keepNext/>
      <w:spacing w:before="240" w:after="120"/>
    </w:pPr>
    <w:rPr>
      <w:rFonts w:ascii="Arial" w:hAnsi="Arial" w:cs="DejaVu Sans" w:eastAsia="DejaVu Sans"/>
      <w:sz w:val="28"/>
      <w:szCs w:val="28"/>
    </w:rPr>
  </w:style>
  <w:style w:type="paragraph" w:styleId="605">
    <w:name w:val="Body Text"/>
    <w:basedOn w:val="599"/>
    <w:pPr>
      <w:spacing w:before="0" w:after="140" w:line="276" w:lineRule="auto"/>
    </w:pPr>
  </w:style>
  <w:style w:type="paragraph" w:styleId="606">
    <w:name w:val="List"/>
    <w:basedOn w:val="605"/>
  </w:style>
  <w:style w:type="paragraph" w:styleId="607">
    <w:name w:val="Caption"/>
    <w:basedOn w:val="599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608">
    <w:name w:val="Index"/>
    <w:basedOn w:val="599"/>
    <w:qFormat/>
    <w:pPr>
      <w:suppressLineNumbers/>
    </w:pPr>
  </w:style>
  <w:style w:type="paragraph" w:styleId="609">
    <w:name w:val="Обычный (веб)"/>
    <w:basedOn w:val="599"/>
    <w:qFormat/>
    <w:pPr>
      <w:spacing w:before="280" w:after="280"/>
    </w:pPr>
  </w:style>
  <w:style w:type="paragraph" w:styleId="610">
    <w:name w:val="Table Contents"/>
    <w:basedOn w:val="599"/>
    <w:qFormat/>
    <w:pPr>
      <w:widowControl w:val="off"/>
      <w:suppressLineNumbers/>
    </w:pPr>
  </w:style>
  <w:style w:type="paragraph" w:styleId="611">
    <w:name w:val="Table Heading"/>
    <w:basedOn w:val="610"/>
    <w:qFormat/>
    <w:pPr>
      <w:jc w:val="center"/>
      <w:suppressLineNumbers/>
    </w:pPr>
    <w:rPr>
      <w:b/>
      <w:bCs/>
    </w:rPr>
  </w:style>
  <w:style w:type="character" w:styleId="959" w:default="1">
    <w:name w:val="Default Paragraph Font"/>
    <w:uiPriority w:val="1"/>
    <w:semiHidden/>
    <w:unhideWhenUsed/>
  </w:style>
  <w:style w:type="numbering" w:styleId="960" w:default="1">
    <w:name w:val="No List"/>
    <w:uiPriority w:val="99"/>
    <w:semiHidden/>
    <w:unhideWhenUsed/>
  </w:style>
  <w:style w:type="table" w:styleId="96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пользования школьной библиотекой</dc:title>
  <dc:subject/>
  <dc:creator>WORK</dc:creator>
  <cp:keywords> </cp:keywords>
  <dc:description/>
  <dc:language>en-US</dc:language>
  <cp:lastModifiedBy>Дмитрий Турчин</cp:lastModifiedBy>
  <cp:revision>3</cp:revision>
  <dcterms:created xsi:type="dcterms:W3CDTF">2014-11-26T11:26:00Z</dcterms:created>
  <dcterms:modified xsi:type="dcterms:W3CDTF">2022-10-10T12:03:47Z</dcterms:modified>
</cp:coreProperties>
</file>