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УНИЦИПАЛЬНОЕ ОБЩЕОБРАЗОВАТЕЛЬНОЕ УЧРЕЖДЕНИЕ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ГОРОДА ДЖАНКОЯ Р</w:t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ЕСПУБЛИКИ КРЫМ «СРЕДНЯЯ ШКОЛА №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3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ИМЕНИ ГЕРОЯ СОВЕТСКОГО СОЮЗА Я.И.ЧАПИЧЕВА»</w:t>
      </w: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РАССМОТРЕНО                                                                  УТВЕРЖДЕНО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заседании ШМО учителей</w:t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Приказ МОУ «СШ No3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им.Я.И.Чапичева</w:t>
      </w:r>
      <w:proofErr w:type="spellEnd"/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от 28.08.2024г.No 297/01-18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Протокол от 28.08.2024 г.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No</w:t>
      </w:r>
      <w:proofErr w:type="spell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1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СОГЛАСОВАНО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Зам</w:t>
      </w:r>
      <w:proofErr w:type="gram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.д</w:t>
      </w:r>
      <w:proofErr w:type="gram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иректора по ВР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__________ </w:t>
      </w:r>
      <w:proofErr w:type="spellStart"/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Э.Э.Аметова</w:t>
      </w:r>
      <w:proofErr w:type="spellEnd"/>
    </w:p>
    <w:p w:rsidR="0098273C" w:rsidRDefault="0098273C" w:rsidP="0098273C">
      <w:pPr>
        <w:spacing w:after="0" w:line="240" w:lineRule="auto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2024г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РАБОЧАЯ ПРОГРАММА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КУРСА ВНЕУРОЧНОЙ ДЕЯТЕЛЬНОСТИ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 xml:space="preserve">« Общая физическая культура </w:t>
      </w:r>
      <w:r w:rsidRPr="0098273C"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>»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уровне (основного образования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)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2024/2025 учебный год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5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класс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          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          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Составитель</w:t>
      </w:r>
      <w:proofErr w:type="gram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:Р</w:t>
      </w:r>
      <w:proofErr w:type="gram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.А.Оглы</w:t>
      </w:r>
      <w:proofErr w:type="spellEnd"/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2024г</w:t>
      </w: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B97EF8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98273C" w:rsidRDefault="0098273C" w:rsidP="0098273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</w:t>
      </w:r>
      <w:r w:rsidRPr="00B97EF8">
        <w:rPr>
          <w:rFonts w:ascii="Times New Roman" w:hAnsi="Times New Roman"/>
          <w:b/>
          <w:sz w:val="28"/>
          <w:szCs w:val="28"/>
        </w:rPr>
        <w:t>сс</w:t>
      </w:r>
    </w:p>
    <w:tbl>
      <w:tblPr>
        <w:tblStyle w:val="a5"/>
        <w:tblW w:w="0" w:type="auto"/>
        <w:tblInd w:w="-601" w:type="dxa"/>
        <w:tblLayout w:type="fixed"/>
        <w:tblLook w:val="04A0"/>
      </w:tblPr>
      <w:tblGrid>
        <w:gridCol w:w="851"/>
        <w:gridCol w:w="744"/>
        <w:gridCol w:w="5351"/>
        <w:gridCol w:w="851"/>
        <w:gridCol w:w="884"/>
        <w:gridCol w:w="1491"/>
      </w:tblGrid>
      <w:tr w:rsidR="0098273C" w:rsidTr="004F23C0">
        <w:tc>
          <w:tcPr>
            <w:tcW w:w="851" w:type="dxa"/>
          </w:tcPr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№</w:t>
            </w: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5A12C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5A12CA">
              <w:rPr>
                <w:rFonts w:ascii="Times New Roman" w:hAnsi="Times New Roman"/>
                <w:b/>
              </w:rPr>
              <w:t>/</w:t>
            </w:r>
            <w:proofErr w:type="spellStart"/>
            <w:r w:rsidRPr="005A12C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98273C" w:rsidRPr="00BE47C3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урока</w:t>
            </w: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в теме</w:t>
            </w:r>
          </w:p>
        </w:tc>
        <w:tc>
          <w:tcPr>
            <w:tcW w:w="5351" w:type="dxa"/>
          </w:tcPr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735" w:type="dxa"/>
            <w:gridSpan w:val="2"/>
          </w:tcPr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Дата </w:t>
            </w: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12CA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1491" w:type="dxa"/>
          </w:tcPr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98273C" w:rsidTr="004F23C0">
        <w:tc>
          <w:tcPr>
            <w:tcW w:w="6946" w:type="dxa"/>
            <w:gridSpan w:val="3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По </w:t>
            </w: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плану</w:t>
            </w:r>
          </w:p>
        </w:tc>
        <w:tc>
          <w:tcPr>
            <w:tcW w:w="884" w:type="dxa"/>
          </w:tcPr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По </w:t>
            </w: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факту</w:t>
            </w:r>
          </w:p>
        </w:tc>
        <w:tc>
          <w:tcPr>
            <w:tcW w:w="1491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Правила техники безопасности на занятиях ОФП и спортивных игр. Значение легкоатлетических упражнений для человека.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История возникновения Олимпийских игр. Влияние занятий физкультурой на организм.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Гигиена подростка. Подбор упражнений для самостоятельных занятий. Метание мяча на дальность. Эстафеты.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Закаливание. Прыжки в длину с места. Игры на координацию движений.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Упражнения на развитие быстроты. Челночный бег. Игры на внимание.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Упражнения на развитие ловкости.</w:t>
            </w:r>
          </w:p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Игры с метанием мяча. Игровые эстафеты.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Гимнастика. Строевые упражнения. Строевой шаг, размыкание и смыкание на месте.</w:t>
            </w:r>
            <w:r w:rsidRPr="00763638">
              <w:rPr>
                <w:sz w:val="24"/>
                <w:szCs w:val="24"/>
              </w:rPr>
              <w:t xml:space="preserve">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Акробатические упражнения: кувырок вперед.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Лазанье по канату. Подтягивания. Упражнения в висах. Игра.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Полоса препятствий. Упражнения на развитие выносливости и быстроты.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лёжа.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Развитие координационных движений: прохождение полосы препятствий.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Волейбол. Стойка игрока, перемещения.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Способы перемещения игрока-волейболиста.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Эстафеты с различными способами перемещений</w:t>
            </w:r>
            <w:r w:rsidRPr="007636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Верхняя передача мяча над собой.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Способы перемещения игрока волейболиста.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Нижняя передача мяча после набрасывания партнёром.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Нижняя передача мяча над собой.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63638">
              <w:rPr>
                <w:rFonts w:ascii="Times New Roman CYR" w:hAnsi="Times New Roman CYR" w:cs="Times New Roman CYR"/>
                <w:sz w:val="24"/>
                <w:szCs w:val="24"/>
              </w:rPr>
              <w:t>Передача мяча сверху над собой и партнёру.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 через сетку.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Эстафеты с приёмами верхней передачей мяча.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Пионербол с приёмами волейбола.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История баскетбола. Основные правила игры в баскетбол.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Ведение мяча шагом, бегом, змейкой с </w:t>
            </w:r>
            <w:proofErr w:type="spellStart"/>
            <w:r w:rsidRPr="007636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оббеганием</w:t>
            </w:r>
            <w:proofErr w:type="spellEnd"/>
            <w:r w:rsidRPr="007636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стоек.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463C2" w:rsidRDefault="0098273C" w:rsidP="004F23C0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Передвижение с мячом.</w:t>
            </w:r>
          </w:p>
          <w:p w:rsidR="0098273C" w:rsidRPr="00763638" w:rsidRDefault="0098273C" w:rsidP="004F23C0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с заданием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463C2" w:rsidRDefault="0098273C" w:rsidP="004F23C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с места.</w:t>
            </w:r>
          </w:p>
          <w:p w:rsidR="0098273C" w:rsidRPr="00763638" w:rsidRDefault="0098273C" w:rsidP="004F23C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мяча в движении.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Выполнение штрафного броска. Ведение мяча с заданием.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Техника передвижений, ведения, передач, бросков.</w:t>
            </w:r>
            <w:r w:rsidRPr="0076363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Комплекс упражнений для развития координации. 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Комплекс упражнений для развития быстроты 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Комплекс упражнений для развития гибкости.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Челночный бег, прыжки в длину с места, упражнения для мышц брюшного пресса.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Подвижные игры с элементами волейбола. Подведение итогов года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8273C" w:rsidRDefault="0098273C" w:rsidP="0098273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D6603" w:rsidRDefault="000D6603"/>
    <w:sectPr w:rsidR="000D6603" w:rsidSect="000D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E18"/>
    <w:multiLevelType w:val="hybridMultilevel"/>
    <w:tmpl w:val="0016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8273C"/>
    <w:rsid w:val="000D6603"/>
    <w:rsid w:val="0098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27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8273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82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24</dc:creator>
  <cp:lastModifiedBy>Ученик 24</cp:lastModifiedBy>
  <cp:revision>1</cp:revision>
  <dcterms:created xsi:type="dcterms:W3CDTF">2024-10-31T11:35:00Z</dcterms:created>
  <dcterms:modified xsi:type="dcterms:W3CDTF">2024-10-31T11:45:00Z</dcterms:modified>
</cp:coreProperties>
</file>