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0DB6" w14:textId="77777777" w:rsidR="0026009D" w:rsidRPr="006B031D" w:rsidRDefault="0026009D" w:rsidP="0026009D">
      <w:pPr>
        <w:pStyle w:val="a4"/>
        <w:ind w:right="-329"/>
        <w:jc w:val="center"/>
        <w:rPr>
          <w:rFonts w:ascii="Times New Roman" w:hAnsi="Times New Roman"/>
          <w:b/>
          <w:sz w:val="24"/>
          <w:szCs w:val="24"/>
        </w:rPr>
      </w:pPr>
      <w:r w:rsidRPr="006B031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A37EA31" w14:textId="77777777" w:rsidR="0026009D" w:rsidRPr="006B031D" w:rsidRDefault="0026009D" w:rsidP="0026009D">
      <w:pPr>
        <w:pStyle w:val="a3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26009D" w:rsidRPr="00C6593E" w14:paraId="146AAFAD" w14:textId="77777777" w:rsidTr="002B1C71">
        <w:tc>
          <w:tcPr>
            <w:tcW w:w="4678" w:type="dxa"/>
          </w:tcPr>
          <w:p w14:paraId="1E202302" w14:textId="77777777" w:rsidR="0026009D" w:rsidRPr="006B031D" w:rsidRDefault="0026009D" w:rsidP="002B1C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.2025г. № 1)</w:t>
            </w:r>
          </w:p>
          <w:p w14:paraId="51EBC8F6" w14:textId="77777777" w:rsidR="0026009D" w:rsidRPr="006B031D" w:rsidRDefault="0026009D" w:rsidP="002B1C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5D8958E9" w14:textId="77777777" w:rsidR="0026009D" w:rsidRPr="006B031D" w:rsidRDefault="0026009D" w:rsidP="002B1C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924D0C9" w14:textId="77777777" w:rsidR="0026009D" w:rsidRPr="006B031D" w:rsidRDefault="0026009D" w:rsidP="00C659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031D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6B031D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6B031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 xml:space="preserve">.2025г. № </w:t>
            </w:r>
            <w:r w:rsidR="006D2A6A">
              <w:rPr>
                <w:rFonts w:ascii="Times New Roman" w:hAnsi="Times New Roman"/>
                <w:sz w:val="24"/>
                <w:szCs w:val="24"/>
              </w:rPr>
              <w:t>277</w:t>
            </w:r>
            <w:r w:rsidRPr="006B031D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5BE22EAD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F2590D8" w14:textId="77777777" w:rsidR="0026009D" w:rsidRPr="006B031D" w:rsidRDefault="0026009D" w:rsidP="0026009D">
      <w:pPr>
        <w:pStyle w:val="a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6009D">
        <w:rPr>
          <w:rFonts w:hAnsi="Times New Roman"/>
          <w:b/>
          <w:bCs/>
          <w:color w:val="000000"/>
          <w:sz w:val="24"/>
          <w:szCs w:val="24"/>
        </w:rPr>
        <w:t>ПОЛОЖЕНИЕ</w:t>
      </w:r>
      <w:r w:rsidRPr="0026009D">
        <w:br/>
      </w:r>
      <w:r w:rsidRPr="0026009D">
        <w:rPr>
          <w:rFonts w:hAnsi="Times New Roman"/>
          <w:b/>
          <w:bCs/>
          <w:color w:val="000000"/>
          <w:sz w:val="24"/>
          <w:szCs w:val="24"/>
        </w:rPr>
        <w:t>об</w:t>
      </w:r>
      <w:r w:rsidRPr="0026009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26009D">
        <w:rPr>
          <w:rFonts w:hAnsi="Times New Roman"/>
          <w:b/>
          <w:bCs/>
          <w:color w:val="000000"/>
          <w:sz w:val="24"/>
          <w:szCs w:val="24"/>
        </w:rPr>
        <w:t>организации</w:t>
      </w:r>
      <w:r w:rsidRPr="0026009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26009D">
        <w:rPr>
          <w:rFonts w:hAnsi="Times New Roman"/>
          <w:b/>
          <w:bCs/>
          <w:color w:val="000000"/>
          <w:sz w:val="24"/>
          <w:szCs w:val="24"/>
        </w:rPr>
        <w:t>внеурочной</w:t>
      </w:r>
      <w:r w:rsidRPr="0026009D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26009D">
        <w:rPr>
          <w:rFonts w:hAnsi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в Муниципальном бюджетном общеобразовательном учреждении</w:t>
      </w:r>
    </w:p>
    <w:p w14:paraId="2F327AD2" w14:textId="77777777" w:rsidR="0026009D" w:rsidRPr="006B031D" w:rsidRDefault="0026009D" w:rsidP="0026009D">
      <w:pPr>
        <w:pStyle w:val="a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«Ботаническая средняя общеобразовательная школа»</w:t>
      </w:r>
    </w:p>
    <w:p w14:paraId="3E9EA7A6" w14:textId="77777777" w:rsidR="000D2A49" w:rsidRDefault="0026009D" w:rsidP="0026009D">
      <w:pPr>
        <w:pStyle w:val="a4"/>
        <w:jc w:val="center"/>
        <w:rPr>
          <w:rFonts w:hAnsi="Times New Roman"/>
          <w:b/>
          <w:bCs/>
          <w:color w:val="000000"/>
          <w:sz w:val="24"/>
          <w:szCs w:val="24"/>
        </w:rPr>
      </w:pP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Раздольненского района Республики Крым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Pr="006B031D">
        <w:rPr>
          <w:rFonts w:asciiTheme="minorHAnsi" w:hAnsiTheme="minorHAnsi" w:cstheme="minorHAnsi"/>
          <w:b/>
          <w:color w:val="000000"/>
          <w:sz w:val="24"/>
          <w:szCs w:val="24"/>
        </w:rPr>
        <w:t>(новая редакция)</w:t>
      </w:r>
    </w:p>
    <w:p w14:paraId="67927194" w14:textId="77777777" w:rsidR="000D2A49" w:rsidRPr="0026009D" w:rsidRDefault="00260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81C38A4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оложение об организации внеурочной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униципальном бюджетном общеобразовательном учреждении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Ботаническая средняя общеобразовательная школа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Раздольненского района Республики Крым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Положение)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деятельности.</w:t>
      </w:r>
    </w:p>
    <w:p w14:paraId="6DB5F1C6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со следующим:</w:t>
      </w:r>
    </w:p>
    <w:p w14:paraId="78091F0E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14:paraId="10F94C1B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14:paraId="46E97090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от 31.05.2021 № 286;</w:t>
      </w:r>
    </w:p>
    <w:p w14:paraId="04902C77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от 31.05.2021 № 287;</w:t>
      </w:r>
    </w:p>
    <w:p w14:paraId="2A069724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06.10.2009 № 373;</w:t>
      </w:r>
    </w:p>
    <w:p w14:paraId="59E1059C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стандартом основного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1897;</w:t>
      </w:r>
    </w:p>
    <w:p w14:paraId="28A12118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стандартом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487F4D04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стандартом начального общего образования обучающихся с ограниченными возможностями здоровья,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19.12.2014 № 1598;</w:t>
      </w:r>
    </w:p>
    <w:p w14:paraId="56BA6E3D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Федеральной образовательной программой 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14:paraId="4924078E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14:paraId="0642B3EC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14:paraId="47FD1656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программой начального общего образования для обучающихся с ограниченными возможностями здоровья,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1023;</w:t>
      </w:r>
    </w:p>
    <w:p w14:paraId="534EC485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программой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1025;</w:t>
      </w:r>
    </w:p>
    <w:p w14:paraId="0FD61602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3170F96" w14:textId="77777777" w:rsidR="000D2A49" w:rsidRPr="0026009D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6BDC48F" w14:textId="77777777" w:rsidR="000D2A49" w:rsidRDefault="0026009D" w:rsidP="0026009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92A7E55" w14:textId="77777777" w:rsidR="000D2A49" w:rsidRDefault="0026009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реализации внеурочной деятельности</w:t>
      </w:r>
    </w:p>
    <w:p w14:paraId="6E3D81A8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 выборе направлений и отборе содержания обучения школа учитывает:</w:t>
      </w:r>
    </w:p>
    <w:p w14:paraId="48A3F0C2" w14:textId="77777777" w:rsidR="000D2A49" w:rsidRPr="0026009D" w:rsidRDefault="0026009D" w:rsidP="0026009D">
      <w:pPr>
        <w:numPr>
          <w:ilvl w:val="0"/>
          <w:numId w:val="2"/>
        </w:numPr>
        <w:tabs>
          <w:tab w:val="left" w:pos="917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свои особенности – условия функционирования, тип, особенности контингента, кадровый состав;</w:t>
      </w:r>
    </w:p>
    <w:p w14:paraId="54581D83" w14:textId="77777777" w:rsidR="000D2A49" w:rsidRPr="0026009D" w:rsidRDefault="0026009D" w:rsidP="0026009D">
      <w:pPr>
        <w:numPr>
          <w:ilvl w:val="0"/>
          <w:numId w:val="2"/>
        </w:numPr>
        <w:tabs>
          <w:tab w:val="left" w:pos="917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53711F07" w14:textId="77777777" w:rsidR="000D2A49" w:rsidRPr="0026009D" w:rsidRDefault="0026009D" w:rsidP="0026009D">
      <w:pPr>
        <w:numPr>
          <w:ilvl w:val="0"/>
          <w:numId w:val="2"/>
        </w:numPr>
        <w:tabs>
          <w:tab w:val="left" w:pos="917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35C033B9" w14:textId="77777777" w:rsidR="000D2A49" w:rsidRPr="0026009D" w:rsidRDefault="0026009D" w:rsidP="0026009D">
      <w:pPr>
        <w:numPr>
          <w:ilvl w:val="0"/>
          <w:numId w:val="2"/>
        </w:numPr>
        <w:tabs>
          <w:tab w:val="left" w:pos="917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14:paraId="298D146E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2.2. Внеурочная деятельность организуется по направлениям:</w:t>
      </w:r>
    </w:p>
    <w:p w14:paraId="245579BC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2.2.1. На уровне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для обучающихся,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286:</w:t>
      </w:r>
    </w:p>
    <w:p w14:paraId="7E2BD67E" w14:textId="77777777" w:rsidR="000D2A49" w:rsidRDefault="0026009D" w:rsidP="0026009D">
      <w:pPr>
        <w:numPr>
          <w:ilvl w:val="0"/>
          <w:numId w:val="3"/>
        </w:numPr>
        <w:tabs>
          <w:tab w:val="left" w:pos="9318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D09EA0" w14:textId="77777777" w:rsidR="000D2A49" w:rsidRDefault="0026009D" w:rsidP="0026009D">
      <w:pPr>
        <w:numPr>
          <w:ilvl w:val="0"/>
          <w:numId w:val="3"/>
        </w:numPr>
        <w:tabs>
          <w:tab w:val="left" w:pos="9318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деятельность;</w:t>
      </w:r>
    </w:p>
    <w:p w14:paraId="48624DE5" w14:textId="77777777" w:rsidR="000D2A49" w:rsidRDefault="0026009D" w:rsidP="0026009D">
      <w:pPr>
        <w:numPr>
          <w:ilvl w:val="0"/>
          <w:numId w:val="3"/>
        </w:numPr>
        <w:tabs>
          <w:tab w:val="left" w:pos="9318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деятельность;</w:t>
      </w:r>
    </w:p>
    <w:p w14:paraId="7E532813" w14:textId="77777777" w:rsidR="000D2A49" w:rsidRDefault="0026009D" w:rsidP="0026009D">
      <w:pPr>
        <w:numPr>
          <w:ilvl w:val="0"/>
          <w:numId w:val="3"/>
        </w:numPr>
        <w:tabs>
          <w:tab w:val="left" w:pos="9318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художественно-эстетическая творческая деятельность;</w:t>
      </w:r>
    </w:p>
    <w:p w14:paraId="57355198" w14:textId="77777777" w:rsidR="000D2A49" w:rsidRDefault="0026009D" w:rsidP="0026009D">
      <w:pPr>
        <w:numPr>
          <w:ilvl w:val="0"/>
          <w:numId w:val="3"/>
        </w:numPr>
        <w:tabs>
          <w:tab w:val="left" w:pos="9318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культура;</w:t>
      </w:r>
    </w:p>
    <w:p w14:paraId="33881541" w14:textId="77777777" w:rsidR="000D2A49" w:rsidRDefault="0026009D" w:rsidP="0026009D">
      <w:pPr>
        <w:numPr>
          <w:ilvl w:val="0"/>
          <w:numId w:val="3"/>
        </w:numPr>
        <w:tabs>
          <w:tab w:val="left" w:pos="9318"/>
        </w:tabs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марафоны;</w:t>
      </w:r>
    </w:p>
    <w:p w14:paraId="06A41AB6" w14:textId="77777777" w:rsidR="000D2A49" w:rsidRDefault="0026009D" w:rsidP="0026009D">
      <w:pPr>
        <w:numPr>
          <w:ilvl w:val="0"/>
          <w:numId w:val="3"/>
        </w:numPr>
        <w:tabs>
          <w:tab w:val="left" w:pos="9318"/>
        </w:tabs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«Учение с увлечением!».</w:t>
      </w:r>
    </w:p>
    <w:p w14:paraId="60A15F27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2.2.2. На уровне основного общего образования для обучающихся,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14:paraId="29CC4D5C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учитывающие этнокультурные интересы, особые образовательные потребности обучающихся с ограниченными возможностями здоровья);</w:t>
      </w:r>
    </w:p>
    <w:p w14:paraId="1DC0955F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метапредметные кружки, факультативы, научные сообщества, в том числе направленные на реализацию проектной и исследовательской деятельности);</w:t>
      </w:r>
    </w:p>
    <w:p w14:paraId="002F13EA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14:paraId="291BA68A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14:paraId="24D0CE42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др.;</w:t>
      </w:r>
    </w:p>
    <w:p w14:paraId="79857ED5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др.);</w:t>
      </w:r>
    </w:p>
    <w:p w14:paraId="115FAED0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организацию педагогической поддержки обучающихся (проектирование индивидуальных образовательных маршрутов, работа тьюторов, педагогов-психологов);</w:t>
      </w:r>
    </w:p>
    <w:p w14:paraId="1EC217BD" w14:textId="77777777" w:rsidR="000D2A49" w:rsidRPr="0026009D" w:rsidRDefault="0026009D" w:rsidP="0026009D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14:paraId="17156DA7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2.2.3. На уровнях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для обучающихся, которые осваивают ООП по ФГОС НОО, утвержденному приказом Минобрнауки от 06.10.2009 № 373, ФГОС ООО, утвержденному приказом Минобрнауки от 17.12.2010 № 1897, 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ФГОС СОО, утвержденному приказом Минобрнауки от 17.05.2012 № 413:</w:t>
      </w:r>
    </w:p>
    <w:p w14:paraId="2C1C57CA" w14:textId="77777777" w:rsidR="000D2A49" w:rsidRDefault="002600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660BC18" w14:textId="77777777" w:rsidR="000D2A49" w:rsidRDefault="002600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духовно-нравственное;</w:t>
      </w:r>
    </w:p>
    <w:p w14:paraId="581CCB25" w14:textId="77777777" w:rsidR="000D2A49" w:rsidRDefault="002600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социальное;</w:t>
      </w:r>
    </w:p>
    <w:p w14:paraId="63AA2FE4" w14:textId="77777777" w:rsidR="000D2A49" w:rsidRDefault="002600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общеинтеллектуальное;</w:t>
      </w:r>
    </w:p>
    <w:p w14:paraId="12FC3BC9" w14:textId="77777777" w:rsidR="000D2A49" w:rsidRDefault="0026009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общекультурное.</w:t>
      </w:r>
    </w:p>
    <w:p w14:paraId="718E4E75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2.3. В организации внеурочной деятельности задействованы все педагогические работники школы. Координирующую роль осуществляет директор школы и его заместители.</w:t>
      </w:r>
    </w:p>
    <w:p w14:paraId="7B64C06F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2.4.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реализации внеурочной деятельности могут использоваться аудиторные и внеаудиторные формы образовательно-воспитательной деятельности.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Формы внеурочной деятельности представляются в деятельностных формулировках, что подчеркивает их практико-ориентированные характеристики.</w:t>
      </w:r>
    </w:p>
    <w:p w14:paraId="63374BBF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2.5. Внеурочная деятельность реализуется школой как самостоятельно, так и посредством сетевых форм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программ, привлекая ресурсы организаций дополнительного образования, культуры и спорта и других партнеров.</w:t>
      </w:r>
    </w:p>
    <w:p w14:paraId="5B61CE1A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2.6. При организации внеурочной деятельности обучающихся в школе используются учебные кабинеты, общешкольные помещения, возможности структурного подразделения дополнительного образования детей школы.</w:t>
      </w:r>
    </w:p>
    <w:p w14:paraId="522CB4FA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2.7. 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сетевых партнеров, привлекает родительскую общественность.</w:t>
      </w:r>
    </w:p>
    <w:p w14:paraId="1827CC7D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2.8.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др.</w:t>
      </w:r>
    </w:p>
    <w:p w14:paraId="49DC9FF1" w14:textId="77777777" w:rsidR="000D2A49" w:rsidRPr="0026009D" w:rsidRDefault="00260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</w:t>
      </w:r>
      <w:r w:rsidRPr="0026009D">
        <w:rPr>
          <w:lang w:val="ru-RU"/>
        </w:rPr>
        <w:br/>
      </w: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 внеурочной деятельности</w:t>
      </w:r>
    </w:p>
    <w:p w14:paraId="2FF0B3CC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14:paraId="402E6B62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3.2. На внеурочную деятельность в плане отводится:</w:t>
      </w:r>
    </w:p>
    <w:p w14:paraId="4FDA5303" w14:textId="77777777" w:rsidR="000D2A49" w:rsidRPr="0026009D" w:rsidRDefault="0026009D" w:rsidP="0026009D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от 600 часов до 1320 часов для обучающихся на уровне начального общего образования за четыре года обучения,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ООП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05AF6DB7" w14:textId="77777777" w:rsidR="000D2A49" w:rsidRPr="0026009D" w:rsidRDefault="0026009D" w:rsidP="0026009D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от 600 часов до 1350 часов для обучающихся на уровне начального общего образования за четыре года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осваивающих ООП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06.10.2009 № 373;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3610ADDE" w14:textId="77777777" w:rsidR="000D2A49" w:rsidRPr="0026009D" w:rsidRDefault="0026009D" w:rsidP="0026009D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от 800 часов до 1750 часов для обучающихся на уровне основного общего образования за пять лет обучения, осваивающих ООП по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1897, и ФГОС 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38EAF3D1" w14:textId="77777777" w:rsidR="000D2A49" w:rsidRPr="0026009D" w:rsidRDefault="0026009D" w:rsidP="0026009D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от 300 часов до 700 часов для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 уровне среднего общего образования за два года обучения, осваивающих ООП по ФГОС СОО,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413.</w:t>
      </w:r>
    </w:p>
    <w:p w14:paraId="28986E6C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часов. Объем недельной нагрузки для 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отводиться на обязательные занятия коррекционной 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направленности с учетом возрастных особенностей обучающихся и их физиологических потребностей.</w:t>
      </w:r>
    </w:p>
    <w:p w14:paraId="7AD0E25F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Один час в неделю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 внеурочное занятие «Разговоры о важном».</w:t>
      </w:r>
    </w:p>
    <w:p w14:paraId="3A895F1B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3.5. Расходы времени на отдельные направления плана внеурочной деятельности могут отличаться:</w:t>
      </w:r>
    </w:p>
    <w:p w14:paraId="43126DBE" w14:textId="77777777" w:rsidR="000D2A49" w:rsidRDefault="002600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На уровне ООО:</w:t>
      </w:r>
    </w:p>
    <w:p w14:paraId="3508F12F" w14:textId="77777777" w:rsidR="000D2A49" w:rsidRPr="0026009D" w:rsidRDefault="0026009D" w:rsidP="0026009D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 внеурочную деятельность по учебным предметам (включая занятия физической культурой и углубленное изучение предметов) еженедельно – от 2 до 4 часов;</w:t>
      </w:r>
    </w:p>
    <w:p w14:paraId="331965C7" w14:textId="77777777" w:rsidR="000D2A49" w:rsidRPr="0026009D" w:rsidRDefault="0026009D" w:rsidP="0026009D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по формированию функциональной грамотности – от 1 до 2 часов;</w:t>
      </w:r>
    </w:p>
    <w:p w14:paraId="706244A1" w14:textId="77777777" w:rsidR="000D2A49" w:rsidRPr="0026009D" w:rsidRDefault="0026009D" w:rsidP="0026009D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внеурочную деятельность по развитию личности, ее способностей, удовлетворению образовательных потребностей и интересов, самореализации обучающихся еженедельно – от 1 до 2 часов, из них 1 час на курс «Россия – мои горизонты» в рамках реализации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4EFBD51" w14:textId="77777777" w:rsidR="000D2A49" w:rsidRPr="0026009D" w:rsidRDefault="0026009D" w:rsidP="0026009D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деятельности);</w:t>
      </w:r>
    </w:p>
    <w:p w14:paraId="7C3E8465" w14:textId="77777777" w:rsidR="000D2A49" w:rsidRPr="0026009D" w:rsidRDefault="0026009D" w:rsidP="0026009D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осуществление педагогической поддержки, социализации обучающихся и обеспечение их благополучия еженедельно – от 2 до 3 часов.</w:t>
      </w:r>
    </w:p>
    <w:p w14:paraId="056A0AD6" w14:textId="77777777" w:rsidR="000D2A49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На уровне СОО:</w:t>
      </w:r>
    </w:p>
    <w:p w14:paraId="502E55D5" w14:textId="77777777" w:rsidR="000D2A49" w:rsidRPr="0026009D" w:rsidRDefault="0026009D" w:rsidP="0026009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 курсы внеурочной деятельности по выбору обучающихся еженедельно до 4 часов;</w:t>
      </w:r>
    </w:p>
    <w:p w14:paraId="1C9FBF06" w14:textId="77777777" w:rsidR="000D2A49" w:rsidRPr="0026009D" w:rsidRDefault="0026009D" w:rsidP="0026009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на обеспечение благополучия обучающегося еженедельно до 1 часа;</w:t>
      </w:r>
    </w:p>
    <w:p w14:paraId="376FF936" w14:textId="77777777" w:rsidR="000D2A49" w:rsidRPr="0026009D" w:rsidRDefault="0026009D" w:rsidP="0026009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1 час на курс «Россия – мои горизонты» в рамках реализации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B850A7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3.6. План должен включать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 План составляется в форме таблицы.</w:t>
      </w:r>
    </w:p>
    <w:p w14:paraId="02FAEDD0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3.7. План внеурочной деятельности на уровне СОО должен включать две части:</w:t>
      </w:r>
    </w:p>
    <w:p w14:paraId="6F82018D" w14:textId="77777777" w:rsidR="000D2A49" w:rsidRPr="0026009D" w:rsidRDefault="0026009D" w:rsidP="0026009D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организаций, в том числе и в рамках «Российского движения школьников»;</w:t>
      </w:r>
    </w:p>
    <w:p w14:paraId="698278E1" w14:textId="77777777" w:rsidR="000D2A49" w:rsidRPr="0026009D" w:rsidRDefault="0026009D" w:rsidP="0026009D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14:paraId="4D644DD8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3.8.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 на уровне СОО модифицируется в соответствии с профилями обучения: естественно-научным, гуманитарным, социально-экономическим, 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технологическим, универсальным. При этом план должен содержать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инвариантный и вариативный компоненты.</w:t>
      </w:r>
    </w:p>
    <w:p w14:paraId="1C0B25D9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14:paraId="72B7A928" w14:textId="77777777" w:rsidR="000D2A49" w:rsidRPr="0026009D" w:rsidRDefault="0026009D" w:rsidP="0026009D">
      <w:pPr>
        <w:numPr>
          <w:ilvl w:val="0"/>
          <w:numId w:val="10"/>
        </w:numPr>
        <w:tabs>
          <w:tab w:val="clear" w:pos="720"/>
          <w:tab w:val="num" w:pos="0"/>
        </w:tabs>
        <w:ind w:left="0" w:right="142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14:paraId="0AE14DA2" w14:textId="77777777" w:rsidR="000D2A49" w:rsidRPr="0026009D" w:rsidRDefault="0026009D" w:rsidP="0026009D">
      <w:pPr>
        <w:numPr>
          <w:ilvl w:val="0"/>
          <w:numId w:val="10"/>
        </w:numPr>
        <w:tabs>
          <w:tab w:val="clear" w:pos="720"/>
          <w:tab w:val="num" w:pos="0"/>
        </w:tabs>
        <w:ind w:left="0" w:righ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14:paraId="006BFB20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Вариативный компонент прописывается по отдельным профилям в соответствии с Федеральной образовательной программой среднего общего образования.</w:t>
      </w:r>
    </w:p>
    <w:p w14:paraId="498DA1BD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3.9.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 При формировании плана обязательно учитываются:</w:t>
      </w:r>
    </w:p>
    <w:p w14:paraId="5982A275" w14:textId="77777777" w:rsidR="000D2A49" w:rsidRPr="0026009D" w:rsidRDefault="0026009D" w:rsidP="0026009D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возможности школы и запланированные результаты основной образовательной программы;</w:t>
      </w:r>
    </w:p>
    <w:p w14:paraId="039F3CCC" w14:textId="77777777" w:rsidR="000D2A49" w:rsidRPr="0026009D" w:rsidRDefault="0026009D" w:rsidP="0026009D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особенности,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 интересы обучающихся, запросы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14:paraId="0EEC0CDE" w14:textId="77777777" w:rsidR="000D2A49" w:rsidRPr="0026009D" w:rsidRDefault="0026009D" w:rsidP="0026009D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педагогических работников и содержание планов классных руководителей, перечень образовательных событий, рекомендованных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B66151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3.10. Проект плана 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14:paraId="3FC00A89" w14:textId="77777777" w:rsidR="000D2A49" w:rsidRPr="0026009D" w:rsidRDefault="002600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3.11. 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модели плана внеурочной деятельности:</w:t>
      </w:r>
    </w:p>
    <w:p w14:paraId="456106C1" w14:textId="77777777" w:rsidR="000D2A49" w:rsidRPr="0026009D" w:rsidRDefault="0026009D" w:rsidP="0026009D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14:paraId="364D03EA" w14:textId="77777777" w:rsidR="000D2A49" w:rsidRPr="0026009D" w:rsidRDefault="0026009D" w:rsidP="0026009D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14:paraId="439BEDC4" w14:textId="77777777" w:rsidR="000D2A49" w:rsidRPr="0026009D" w:rsidRDefault="0026009D" w:rsidP="0026009D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деятельности ученических сообществ и воспитательных мероприятий.</w:t>
      </w:r>
    </w:p>
    <w:p w14:paraId="4FFD562A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3.12. Реализация плана внеурочной деятельности предусматривает в течение года неравномерное распределение нагрузки.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</w:t>
      </w:r>
    </w:p>
    <w:p w14:paraId="44DF5A8E" w14:textId="77777777" w:rsidR="000D2A49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3.13.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Большее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быть выделено:</w:t>
      </w:r>
    </w:p>
    <w:p w14:paraId="47A1D67F" w14:textId="77777777" w:rsidR="000D2A49" w:rsidRPr="0026009D" w:rsidRDefault="0026009D" w:rsidP="0026009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адаптации обучающихся к изменившейся образовательной ситуации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 1-х, 5-х, 10-х классах;</w:t>
      </w:r>
    </w:p>
    <w:p w14:paraId="26AEA8F8" w14:textId="77777777" w:rsidR="000D2A49" w:rsidRPr="0026009D" w:rsidRDefault="0026009D" w:rsidP="0026009D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для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предпрофильной подготовки в 8-х классах.</w:t>
      </w:r>
    </w:p>
    <w:p w14:paraId="1594FBFA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3.14. Выделение часов на внеурочную деятельность может различаться в связи с необходимостью преодоления противоречий и разрешения проблем, возникающих в том или ином ученическом коллективе.</w:t>
      </w:r>
    </w:p>
    <w:p w14:paraId="0F935D0C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3.15. Изменения в план вносятся с целью корректировки запланированных объемов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нагрузки и приведения его в соответствие с действующим законодательством.</w:t>
      </w:r>
    </w:p>
    <w:p w14:paraId="236543D1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3.16. 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Педагогические работники анализируют потребности обучающихся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курсов внеурочной деятельности предлагается родителям (законным представителям) будущих первоклассников на установочном родительском собрании.</w:t>
      </w:r>
    </w:p>
    <w:p w14:paraId="7EE77413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3.17. Изменения в план вносятся в порядке, указанном в пункте 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14:paraId="105D043A" w14:textId="77777777" w:rsidR="000D2A49" w:rsidRPr="0026009D" w:rsidRDefault="00260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и утверждения</w:t>
      </w:r>
      <w:r w:rsidRPr="0026009D">
        <w:rPr>
          <w:lang w:val="ru-RU"/>
        </w:rPr>
        <w:br/>
      </w: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программ курсов внеурочной деятельности</w:t>
      </w:r>
    </w:p>
    <w:p w14:paraId="5B77DA58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привлекаются методист и заместитель директора по воспитательной работе и иные педагогические работники.</w:t>
      </w:r>
    </w:p>
    <w:p w14:paraId="2000416E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4.2. Структура программы курса должна содержать:</w:t>
      </w:r>
    </w:p>
    <w:p w14:paraId="44DADC2C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которые осваивают ООП по ФГОС НОО, утвержденному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14:paraId="1B3D5B34" w14:textId="77777777" w:rsidR="000D2A49" w:rsidRDefault="0026009D" w:rsidP="0026009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E09DDA" w14:textId="77777777" w:rsidR="000D2A49" w:rsidRPr="0026009D" w:rsidRDefault="0026009D" w:rsidP="0026009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 внеурочной деятельности;</w:t>
      </w:r>
    </w:p>
    <w:p w14:paraId="1314845F" w14:textId="77777777" w:rsidR="000D2A49" w:rsidRPr="0026009D" w:rsidRDefault="0026009D" w:rsidP="0026009D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виде и реализующими дидактические возможности ИКТ, содержание которых соответствует законодательству об образовании.</w:t>
      </w:r>
    </w:p>
    <w:p w14:paraId="1526F1A1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также должны содержать указание на форму проведения занятий.</w:t>
      </w:r>
    </w:p>
    <w:p w14:paraId="12105B0C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формируются с учетом рабочей программы воспитания.</w:t>
      </w:r>
    </w:p>
    <w:p w14:paraId="18819F9F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4.2.2. Для обучающихся, которые осваивают ООП по ФГОС НОО, утвержденному приказом Минобрнауки от 06.10.2009 № 373; ФГОС ООО, утвержденному приказом Минобрнауки от 17.12.2010 № 1897; ФГОС СОО, утвержденному приказом Минобрнауки от 17.05.2012 № 413:</w:t>
      </w:r>
    </w:p>
    <w:p w14:paraId="3FD55C72" w14:textId="77777777" w:rsidR="000D2A49" w:rsidRPr="0026009D" w:rsidRDefault="0026009D" w:rsidP="0026009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14:paraId="77485867" w14:textId="77777777" w:rsidR="000D2A49" w:rsidRPr="0026009D" w:rsidRDefault="0026009D" w:rsidP="0026009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14:paraId="2D746333" w14:textId="77777777" w:rsidR="000D2A49" w:rsidRPr="0026009D" w:rsidRDefault="0026009D" w:rsidP="0026009D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планирование, в том числе с учетом рабочей программы воспитания.</w:t>
      </w:r>
    </w:p>
    <w:p w14:paraId="650E7810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4.3. Рабочие программы курсов разрабатываются на основе требований к результатам освоения ООП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нарушением интеллекта, ФГОС для детей с ограниченными возможностями здоровья и соответствующих федеральных адаптированных образовательных программ.</w:t>
      </w:r>
    </w:p>
    <w:p w14:paraId="7720E429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4.4. Рабочая программа курса составляется педагогическим работником в соответствии с правилами, установленными Положением о рабочей программе.</w:t>
      </w:r>
    </w:p>
    <w:p w14:paraId="43DDFDBE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4.5. Срок действия и объем нагрузки прописываются в рабочей программе с учетом содержания плана внеурочной деятельности.</w:t>
      </w:r>
    </w:p>
    <w:p w14:paraId="365C3DD0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4.6. Разработанный проект рабочей программы курса представляется на проверку и предварительное согласование заместителю директора по воспитательной работе.</w:t>
      </w:r>
    </w:p>
    <w:p w14:paraId="0BBC1B99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4.7.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14:paraId="4A7B778D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4.8.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14:paraId="7DA6342F" w14:textId="77777777" w:rsidR="000D2A49" w:rsidRPr="0026009D" w:rsidRDefault="00260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организации разовых</w:t>
      </w:r>
      <w:r w:rsidRPr="0026009D">
        <w:rPr>
          <w:lang w:val="ru-RU"/>
        </w:rPr>
        <w:br/>
      </w: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краткосрочных мероприятий внеурочной деятельности</w:t>
      </w:r>
    </w:p>
    <w:p w14:paraId="6C2CF8B7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14:paraId="144E783F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Срок реализации и объем мероприятия прописываются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14:paraId="2167D4CB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образования.</w:t>
      </w:r>
    </w:p>
    <w:p w14:paraId="275B234C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14:paraId="6E65F33F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участия во внеурочной деятельности</w:t>
      </w:r>
    </w:p>
    <w:p w14:paraId="5831B384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14:paraId="05C0C412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14:paraId="4F2E9658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Комплектование групп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14:paraId="494A8376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6.3.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14:paraId="4AA2295F" w14:textId="77777777" w:rsidR="000D2A49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6.4. Учет занятости обучающихся внеурочной деятельностью осуществляется педагогическими работниками в журнале учета внеурочной деятельности.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A1A03BE" w14:textId="77777777" w:rsidR="000D2A49" w:rsidRPr="0026009D" w:rsidRDefault="0026009D" w:rsidP="0026009D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титульный лист: наименование школы, учебный год, класс;</w:t>
      </w:r>
    </w:p>
    <w:p w14:paraId="630E6EE1" w14:textId="77777777" w:rsidR="000D2A49" w:rsidRPr="0026009D" w:rsidRDefault="0026009D" w:rsidP="0026009D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занятий курсов: наименование курса, Ф. И. О. педагогического работника, назначенного вести курс, Ф. И. О. обучающегося, дату, содержание и форму 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14:paraId="3BC0AC4B" w14:textId="77777777" w:rsidR="000D2A49" w:rsidRPr="0026009D" w:rsidRDefault="0026009D" w:rsidP="0026009D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мероприятий: наименование мероприятия, Ф.И. О. ответственного педагогического работника, Ф. И. О. обучающегося, дату и форму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14:paraId="699E8B11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Порядок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14:paraId="0249F282" w14:textId="77777777" w:rsidR="000D2A49" w:rsidRPr="0026009D" w:rsidRDefault="002600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14:paraId="69E904D8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14:paraId="2B6BC556" w14:textId="77777777" w:rsidR="000D2A49" w:rsidRDefault="0026009D" w:rsidP="0026009D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07E502D" w14:textId="77777777" w:rsidR="000D2A49" w:rsidRDefault="0026009D" w:rsidP="0026009D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электронного обучения;</w:t>
      </w:r>
    </w:p>
    <w:p w14:paraId="68D6C9AD" w14:textId="77777777" w:rsidR="000D2A49" w:rsidRPr="0026009D" w:rsidRDefault="0026009D" w:rsidP="0026009D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14:paraId="1303F14E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7.2. В рамках курсов внеурочной деятельности школа вправе организовывать в дистанционном режиме:</w:t>
      </w:r>
    </w:p>
    <w:p w14:paraId="194CEFB1" w14:textId="77777777" w:rsidR="000D2A49" w:rsidRPr="0026009D" w:rsidRDefault="0026009D" w:rsidP="0026009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проектные и исследовательские работы обучающихся;</w:t>
      </w:r>
    </w:p>
    <w:p w14:paraId="37940F2D" w14:textId="77777777" w:rsidR="000D2A49" w:rsidRDefault="0026009D" w:rsidP="0026009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616FBD4" w14:textId="77777777" w:rsidR="000D2A49" w:rsidRPr="0026009D" w:rsidRDefault="0026009D" w:rsidP="0026009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14:paraId="7AC7BC9E" w14:textId="77777777" w:rsidR="000D2A49" w:rsidRPr="0026009D" w:rsidRDefault="0026009D" w:rsidP="0026009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14:paraId="5B9BF9F9" w14:textId="77777777" w:rsidR="000D2A49" w:rsidRPr="0026009D" w:rsidRDefault="0026009D" w:rsidP="0026009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14:paraId="09D1B9F9" w14:textId="77777777" w:rsidR="000D2A49" w:rsidRPr="0026009D" w:rsidRDefault="0026009D" w:rsidP="0026009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образовательных сюжетов о современных достижениях науки и технологий;</w:t>
      </w:r>
    </w:p>
    <w:p w14:paraId="4DD84A3E" w14:textId="77777777" w:rsidR="000D2A49" w:rsidRPr="0026009D" w:rsidRDefault="0026009D" w:rsidP="0026009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14:paraId="7DA4FC9E" w14:textId="77777777" w:rsidR="000D2A49" w:rsidRPr="0026009D" w:rsidRDefault="0026009D" w:rsidP="0026009D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14:paraId="3D7C4045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14:paraId="62BA6F1B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14:paraId="2545490F" w14:textId="77777777" w:rsidR="000D2A49" w:rsidRPr="0026009D" w:rsidRDefault="0026009D" w:rsidP="0026009D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14:paraId="6E108DA7" w14:textId="77777777" w:rsidR="000D2A49" w:rsidRPr="0026009D" w:rsidRDefault="0026009D" w:rsidP="0026009D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14:paraId="0C172B45" w14:textId="77777777" w:rsidR="000D2A49" w:rsidRPr="0026009D" w:rsidRDefault="0026009D" w:rsidP="0026009D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14:paraId="6FE3A33F" w14:textId="77777777" w:rsidR="000D2A49" w:rsidRPr="0026009D" w:rsidRDefault="0026009D" w:rsidP="0026009D">
      <w:pPr>
        <w:numPr>
          <w:ilvl w:val="0"/>
          <w:numId w:val="19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деятельность руководителей проектных и исследовательских работ обучающихся;</w:t>
      </w:r>
    </w:p>
    <w:p w14:paraId="0AFA9609" w14:textId="77777777" w:rsidR="000D2A49" w:rsidRPr="0026009D" w:rsidRDefault="0026009D" w:rsidP="0026009D">
      <w:pPr>
        <w:numPr>
          <w:ilvl w:val="0"/>
          <w:numId w:val="19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времени;</w:t>
      </w:r>
    </w:p>
    <w:p w14:paraId="4A5A8B58" w14:textId="77777777" w:rsidR="000D2A49" w:rsidRPr="0026009D" w:rsidRDefault="0026009D" w:rsidP="0026009D">
      <w:pPr>
        <w:numPr>
          <w:ilvl w:val="0"/>
          <w:numId w:val="19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14:paraId="0EA09207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аттестация</w:t>
      </w:r>
    </w:p>
    <w:p w14:paraId="410ECEF7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8.1.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14:paraId="7026AAF3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14:paraId="16792896" w14:textId="77777777" w:rsidR="000D2A49" w:rsidRPr="0026009D" w:rsidRDefault="0026009D" w:rsidP="0026009D">
      <w:pPr>
        <w:numPr>
          <w:ilvl w:val="0"/>
          <w:numId w:val="20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14:paraId="4116C328" w14:textId="77777777" w:rsidR="000D2A49" w:rsidRPr="0026009D" w:rsidRDefault="0026009D" w:rsidP="0026009D">
      <w:pPr>
        <w:numPr>
          <w:ilvl w:val="0"/>
          <w:numId w:val="20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14:paraId="2149A602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8.2.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14:paraId="2172515A" w14:textId="77777777" w:rsidR="000D2A49" w:rsidRPr="0026009D" w:rsidRDefault="0026009D" w:rsidP="002600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Минобрнауки, </w:t>
      </w:r>
      <w:proofErr w:type="spellStart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обучающихся, утвержденным приказом МБОУ Школа №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от 25.08.2025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№ 152.</w:t>
      </w:r>
    </w:p>
    <w:p w14:paraId="39A7AD22" w14:textId="77777777" w:rsidR="000D2A49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09D">
        <w:rPr>
          <w:rFonts w:hAnsi="Times New Roman" w:cs="Times New Roman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p w14:paraId="70A9B71B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E28B22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0068CC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C144F6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7F4597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9DA2DA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7D4C73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EACE03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EE3B35" w14:textId="77777777" w:rsidR="0026009D" w:rsidRPr="00D569D9" w:rsidRDefault="0026009D" w:rsidP="0026009D">
      <w:pPr>
        <w:pStyle w:val="a4"/>
        <w:jc w:val="both"/>
        <w:rPr>
          <w:rFonts w:hAnsi="Times New Roman"/>
          <w:b/>
          <w:bCs/>
          <w:color w:val="000000"/>
          <w:sz w:val="28"/>
          <w:szCs w:val="28"/>
        </w:rPr>
      </w:pPr>
      <w:r w:rsidRPr="00D569D9">
        <w:rPr>
          <w:rFonts w:ascii="Times New Roman" w:hAnsi="Times New Roman"/>
          <w:b/>
          <w:sz w:val="28"/>
          <w:szCs w:val="28"/>
        </w:rPr>
        <w:lastRenderedPageBreak/>
        <w:t xml:space="preserve">С </w:t>
      </w:r>
      <w:r w:rsidRPr="00745D78">
        <w:rPr>
          <w:rFonts w:ascii="Times New Roman" w:hAnsi="Times New Roman"/>
          <w:b/>
          <w:sz w:val="28"/>
          <w:szCs w:val="28"/>
        </w:rPr>
        <w:t>П</w:t>
      </w:r>
      <w:r w:rsidRPr="00745D78">
        <w:rPr>
          <w:rFonts w:hAnsi="Times New Roman"/>
          <w:b/>
          <w:bCs/>
          <w:color w:val="000000"/>
          <w:sz w:val="28"/>
          <w:szCs w:val="28"/>
        </w:rPr>
        <w:t>оложением</w:t>
      </w:r>
      <w:r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26009D">
        <w:rPr>
          <w:rFonts w:hAnsi="Times New Roman"/>
          <w:b/>
          <w:bCs/>
          <w:color w:val="000000"/>
          <w:sz w:val="28"/>
          <w:szCs w:val="28"/>
        </w:rPr>
        <w:t>об</w:t>
      </w:r>
      <w:r w:rsidRPr="0026009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26009D">
        <w:rPr>
          <w:rFonts w:hAnsi="Times New Roman"/>
          <w:b/>
          <w:bCs/>
          <w:color w:val="000000"/>
          <w:sz w:val="28"/>
          <w:szCs w:val="28"/>
        </w:rPr>
        <w:t>организации</w:t>
      </w:r>
      <w:r w:rsidRPr="0026009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26009D">
        <w:rPr>
          <w:rFonts w:hAnsi="Times New Roman"/>
          <w:b/>
          <w:bCs/>
          <w:color w:val="000000"/>
          <w:sz w:val="28"/>
          <w:szCs w:val="28"/>
        </w:rPr>
        <w:t>внеурочной</w:t>
      </w:r>
      <w:r w:rsidRPr="0026009D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26009D">
        <w:rPr>
          <w:rFonts w:hAnsi="Times New Roman"/>
          <w:b/>
          <w:bCs/>
          <w:color w:val="000000"/>
          <w:sz w:val="28"/>
          <w:szCs w:val="28"/>
        </w:rPr>
        <w:t>деятельности</w:t>
      </w:r>
      <w:r w:rsidRPr="00745D78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745D78">
        <w:rPr>
          <w:rFonts w:asciiTheme="minorHAnsi" w:hAnsiTheme="minorHAnsi" w:cstheme="minorHAnsi"/>
          <w:b/>
          <w:color w:val="000000"/>
          <w:sz w:val="28"/>
          <w:szCs w:val="28"/>
        </w:rPr>
        <w:t>в Муниципальном бюджетном общеобразовательном учреждении «Ботаническая средняя общеобразовательная школа» Раздольненского района Республики Крым (новая редакция)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ознакомлены</w:t>
      </w:r>
      <w:r>
        <w:rPr>
          <w:rFonts w:hAnsi="Times New Roman"/>
          <w:b/>
          <w:bCs/>
          <w:color w:val="000000"/>
          <w:sz w:val="28"/>
          <w:szCs w:val="28"/>
        </w:rPr>
        <w:t>:</w:t>
      </w:r>
      <w:r w:rsidRPr="00D569D9">
        <w:rPr>
          <w:rFonts w:hAnsi="Times New Roman"/>
          <w:b/>
          <w:bCs/>
          <w:color w:val="000000"/>
          <w:sz w:val="28"/>
          <w:szCs w:val="28"/>
        </w:rPr>
        <w:t xml:space="preserve">      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"/>
        <w:gridCol w:w="4068"/>
        <w:gridCol w:w="2258"/>
        <w:gridCol w:w="2490"/>
      </w:tblGrid>
      <w:tr w:rsidR="0026009D" w:rsidRPr="00C56C1C" w14:paraId="5BC54683" w14:textId="77777777" w:rsidTr="002B1C71">
        <w:tc>
          <w:tcPr>
            <w:tcW w:w="674" w:type="dxa"/>
          </w:tcPr>
          <w:p w14:paraId="0E622C4F" w14:textId="77777777" w:rsidR="0026009D" w:rsidRPr="00C56C1C" w:rsidRDefault="0026009D" w:rsidP="002B1C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74A942F" w14:textId="77777777" w:rsidR="0026009D" w:rsidRPr="00C56C1C" w:rsidRDefault="0026009D" w:rsidP="002B1C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9" w:type="dxa"/>
          </w:tcPr>
          <w:p w14:paraId="3323C5D6" w14:textId="77777777" w:rsidR="0026009D" w:rsidRPr="00C56C1C" w:rsidRDefault="0026009D" w:rsidP="002B1C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6" w:type="dxa"/>
          </w:tcPr>
          <w:p w14:paraId="7E6978C2" w14:textId="77777777" w:rsidR="0026009D" w:rsidRPr="00C56C1C" w:rsidRDefault="0026009D" w:rsidP="002B1C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0" w:type="dxa"/>
          </w:tcPr>
          <w:p w14:paraId="2F4A9866" w14:textId="77777777" w:rsidR="0026009D" w:rsidRPr="00C56C1C" w:rsidRDefault="0026009D" w:rsidP="002B1C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26009D" w14:paraId="41D03088" w14:textId="77777777" w:rsidTr="002B1C71">
        <w:tc>
          <w:tcPr>
            <w:tcW w:w="674" w:type="dxa"/>
          </w:tcPr>
          <w:p w14:paraId="3A2EF80A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14:paraId="36EE796A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6" w:type="dxa"/>
          </w:tcPr>
          <w:p w14:paraId="75B4B2EB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040D24A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10F30CE4" w14:textId="77777777" w:rsidTr="002B1C71">
        <w:tc>
          <w:tcPr>
            <w:tcW w:w="674" w:type="dxa"/>
          </w:tcPr>
          <w:p w14:paraId="6AE2AE77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14:paraId="154BFC00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6" w:type="dxa"/>
          </w:tcPr>
          <w:p w14:paraId="1F0F4DB7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925246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17695FCE" w14:textId="77777777" w:rsidTr="002B1C71">
        <w:tc>
          <w:tcPr>
            <w:tcW w:w="674" w:type="dxa"/>
          </w:tcPr>
          <w:p w14:paraId="57424F82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</w:tcPr>
          <w:p w14:paraId="25F10F69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6" w:type="dxa"/>
          </w:tcPr>
          <w:p w14:paraId="2BE8F92D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3ABF882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59E83E4E" w14:textId="77777777" w:rsidTr="002B1C71">
        <w:tc>
          <w:tcPr>
            <w:tcW w:w="674" w:type="dxa"/>
          </w:tcPr>
          <w:p w14:paraId="408D2DBD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9" w:type="dxa"/>
          </w:tcPr>
          <w:p w14:paraId="03208594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6" w:type="dxa"/>
          </w:tcPr>
          <w:p w14:paraId="11B1310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5B34844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2AA1DC00" w14:textId="77777777" w:rsidTr="002B1C71">
        <w:tc>
          <w:tcPr>
            <w:tcW w:w="674" w:type="dxa"/>
          </w:tcPr>
          <w:p w14:paraId="3DAB1BDD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9" w:type="dxa"/>
          </w:tcPr>
          <w:p w14:paraId="6858CBD8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6" w:type="dxa"/>
          </w:tcPr>
          <w:p w14:paraId="31910027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2BF941D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0EDF8CD1" w14:textId="77777777" w:rsidTr="002B1C71">
        <w:tc>
          <w:tcPr>
            <w:tcW w:w="674" w:type="dxa"/>
          </w:tcPr>
          <w:p w14:paraId="1E81C012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</w:tcPr>
          <w:p w14:paraId="72B244BC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6" w:type="dxa"/>
          </w:tcPr>
          <w:p w14:paraId="3C03C41A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786F12F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2595C4CA" w14:textId="77777777" w:rsidTr="002B1C71">
        <w:tc>
          <w:tcPr>
            <w:tcW w:w="674" w:type="dxa"/>
          </w:tcPr>
          <w:p w14:paraId="3129E167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</w:tcPr>
          <w:p w14:paraId="2EB8FE17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6" w:type="dxa"/>
          </w:tcPr>
          <w:p w14:paraId="09F891C0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FFC1A9D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2759F5DD" w14:textId="77777777" w:rsidTr="002B1C71">
        <w:tc>
          <w:tcPr>
            <w:tcW w:w="674" w:type="dxa"/>
          </w:tcPr>
          <w:p w14:paraId="7DAB455B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</w:tcPr>
          <w:p w14:paraId="2E90BB4E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6" w:type="dxa"/>
          </w:tcPr>
          <w:p w14:paraId="016E73EF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5624E14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1C27B412" w14:textId="77777777" w:rsidTr="002B1C71">
        <w:tc>
          <w:tcPr>
            <w:tcW w:w="674" w:type="dxa"/>
          </w:tcPr>
          <w:p w14:paraId="4139DEC8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</w:tcPr>
          <w:p w14:paraId="642481BF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6" w:type="dxa"/>
          </w:tcPr>
          <w:p w14:paraId="679271DF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8277105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2769F566" w14:textId="77777777" w:rsidTr="002B1C71">
        <w:tc>
          <w:tcPr>
            <w:tcW w:w="674" w:type="dxa"/>
          </w:tcPr>
          <w:p w14:paraId="3A33D5B4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</w:tcPr>
          <w:p w14:paraId="719A38F3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6" w:type="dxa"/>
          </w:tcPr>
          <w:p w14:paraId="4487A4F5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2D02D63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438BB2F3" w14:textId="77777777" w:rsidTr="002B1C71">
        <w:tc>
          <w:tcPr>
            <w:tcW w:w="674" w:type="dxa"/>
          </w:tcPr>
          <w:p w14:paraId="26F81A01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9" w:type="dxa"/>
          </w:tcPr>
          <w:p w14:paraId="170A6AF0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6" w:type="dxa"/>
          </w:tcPr>
          <w:p w14:paraId="05B5331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3767C50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00D964BE" w14:textId="77777777" w:rsidTr="002B1C71">
        <w:tc>
          <w:tcPr>
            <w:tcW w:w="674" w:type="dxa"/>
          </w:tcPr>
          <w:p w14:paraId="615CDC5B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9" w:type="dxa"/>
          </w:tcPr>
          <w:p w14:paraId="427E8538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6" w:type="dxa"/>
          </w:tcPr>
          <w:p w14:paraId="0AC9A058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4191221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5FA9B98A" w14:textId="77777777" w:rsidTr="002B1C71">
        <w:tc>
          <w:tcPr>
            <w:tcW w:w="674" w:type="dxa"/>
          </w:tcPr>
          <w:p w14:paraId="2EFA7E1A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9" w:type="dxa"/>
          </w:tcPr>
          <w:p w14:paraId="5AC4844F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6" w:type="dxa"/>
          </w:tcPr>
          <w:p w14:paraId="4014C060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724F3CB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4AD2EB1B" w14:textId="77777777" w:rsidTr="002B1C71">
        <w:tc>
          <w:tcPr>
            <w:tcW w:w="674" w:type="dxa"/>
          </w:tcPr>
          <w:p w14:paraId="0D3FDAA6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99" w:type="dxa"/>
          </w:tcPr>
          <w:p w14:paraId="65B3BAEA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6" w:type="dxa"/>
          </w:tcPr>
          <w:p w14:paraId="3B168E15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B5584C2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478595E4" w14:textId="77777777" w:rsidTr="002B1C71">
        <w:tc>
          <w:tcPr>
            <w:tcW w:w="674" w:type="dxa"/>
          </w:tcPr>
          <w:p w14:paraId="1892428D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9" w:type="dxa"/>
          </w:tcPr>
          <w:p w14:paraId="3E0FE999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6" w:type="dxa"/>
          </w:tcPr>
          <w:p w14:paraId="03816C46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7237D2B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6E2A764F" w14:textId="77777777" w:rsidTr="002B1C71">
        <w:tc>
          <w:tcPr>
            <w:tcW w:w="674" w:type="dxa"/>
          </w:tcPr>
          <w:p w14:paraId="6AD4194D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99" w:type="dxa"/>
          </w:tcPr>
          <w:p w14:paraId="65DB9821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6" w:type="dxa"/>
          </w:tcPr>
          <w:p w14:paraId="34681F41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983BE5B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62EF3973" w14:textId="77777777" w:rsidTr="002B1C71">
        <w:tc>
          <w:tcPr>
            <w:tcW w:w="674" w:type="dxa"/>
          </w:tcPr>
          <w:p w14:paraId="6E0998F3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9" w:type="dxa"/>
          </w:tcPr>
          <w:p w14:paraId="013DA3FB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4C897D8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E761423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72A552D8" w14:textId="77777777" w:rsidTr="002B1C71">
        <w:tc>
          <w:tcPr>
            <w:tcW w:w="674" w:type="dxa"/>
          </w:tcPr>
          <w:p w14:paraId="0E7BD1DA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9" w:type="dxa"/>
          </w:tcPr>
          <w:p w14:paraId="3F2E448E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D08C371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43EA750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69BF1AC3" w14:textId="77777777" w:rsidTr="002B1C71">
        <w:tc>
          <w:tcPr>
            <w:tcW w:w="674" w:type="dxa"/>
          </w:tcPr>
          <w:p w14:paraId="4B681DCE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9" w:type="dxa"/>
          </w:tcPr>
          <w:p w14:paraId="744C530E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F1B3D84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313CD7D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3BE8CBA1" w14:textId="77777777" w:rsidTr="002B1C71">
        <w:tc>
          <w:tcPr>
            <w:tcW w:w="674" w:type="dxa"/>
          </w:tcPr>
          <w:p w14:paraId="63728953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9" w:type="dxa"/>
          </w:tcPr>
          <w:p w14:paraId="3C0B10DD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F92D4B7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EF72F93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4D4C5D01" w14:textId="77777777" w:rsidTr="002B1C71">
        <w:tc>
          <w:tcPr>
            <w:tcW w:w="674" w:type="dxa"/>
          </w:tcPr>
          <w:p w14:paraId="6CD8C64A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9" w:type="dxa"/>
          </w:tcPr>
          <w:p w14:paraId="533BE6D0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C12A2FD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2038D31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322F8DDD" w14:textId="77777777" w:rsidTr="002B1C71">
        <w:tc>
          <w:tcPr>
            <w:tcW w:w="674" w:type="dxa"/>
          </w:tcPr>
          <w:p w14:paraId="0598BECB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9" w:type="dxa"/>
          </w:tcPr>
          <w:p w14:paraId="4FDC138A" w14:textId="77777777" w:rsidR="0026009D" w:rsidRPr="00233141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48E66BE6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AC63D6E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49164CDB" w14:textId="77777777" w:rsidTr="002B1C71">
        <w:tc>
          <w:tcPr>
            <w:tcW w:w="674" w:type="dxa"/>
          </w:tcPr>
          <w:p w14:paraId="65621626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9" w:type="dxa"/>
          </w:tcPr>
          <w:p w14:paraId="7EF898DA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20CD65D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188684D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7B255A16" w14:textId="77777777" w:rsidTr="002B1C71">
        <w:tc>
          <w:tcPr>
            <w:tcW w:w="674" w:type="dxa"/>
          </w:tcPr>
          <w:p w14:paraId="778F4333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099" w:type="dxa"/>
          </w:tcPr>
          <w:p w14:paraId="4E11ECF8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20BCC03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42784F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336560B4" w14:textId="77777777" w:rsidTr="002B1C71">
        <w:tc>
          <w:tcPr>
            <w:tcW w:w="674" w:type="dxa"/>
          </w:tcPr>
          <w:p w14:paraId="62FDF414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99" w:type="dxa"/>
          </w:tcPr>
          <w:p w14:paraId="4389874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0E1834E5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1B1F734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1DCE4EE9" w14:textId="77777777" w:rsidTr="002B1C71">
        <w:tc>
          <w:tcPr>
            <w:tcW w:w="674" w:type="dxa"/>
          </w:tcPr>
          <w:p w14:paraId="533BB8EC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99" w:type="dxa"/>
          </w:tcPr>
          <w:p w14:paraId="35322647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FF344E3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2A6A32A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2CB994B1" w14:textId="77777777" w:rsidTr="002B1C71">
        <w:tc>
          <w:tcPr>
            <w:tcW w:w="674" w:type="dxa"/>
          </w:tcPr>
          <w:p w14:paraId="0EB61385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99" w:type="dxa"/>
          </w:tcPr>
          <w:p w14:paraId="7A1784BE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734C6C66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5E77D2A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5AA3DDEA" w14:textId="77777777" w:rsidTr="002B1C71">
        <w:tc>
          <w:tcPr>
            <w:tcW w:w="674" w:type="dxa"/>
          </w:tcPr>
          <w:p w14:paraId="668A1B5F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099" w:type="dxa"/>
          </w:tcPr>
          <w:p w14:paraId="5B48F9E1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19A71BEF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AE76895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0E1EE6C9" w14:textId="77777777" w:rsidTr="002B1C71">
        <w:tc>
          <w:tcPr>
            <w:tcW w:w="674" w:type="dxa"/>
          </w:tcPr>
          <w:p w14:paraId="5B854647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099" w:type="dxa"/>
          </w:tcPr>
          <w:p w14:paraId="22E5FDB1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6C42385A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378D8B8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69078065" w14:textId="77777777" w:rsidTr="002B1C71">
        <w:tc>
          <w:tcPr>
            <w:tcW w:w="674" w:type="dxa"/>
          </w:tcPr>
          <w:p w14:paraId="52885BA0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099" w:type="dxa"/>
          </w:tcPr>
          <w:p w14:paraId="542FE237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4C0630B2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486F8E7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24E6EFCA" w14:textId="77777777" w:rsidTr="002B1C71">
        <w:tc>
          <w:tcPr>
            <w:tcW w:w="674" w:type="dxa"/>
          </w:tcPr>
          <w:p w14:paraId="5FD591A9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099" w:type="dxa"/>
          </w:tcPr>
          <w:p w14:paraId="1F41DA9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C6C60D3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4CB4370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43442126" w14:textId="77777777" w:rsidTr="002B1C71">
        <w:tc>
          <w:tcPr>
            <w:tcW w:w="674" w:type="dxa"/>
          </w:tcPr>
          <w:p w14:paraId="4A89D287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099" w:type="dxa"/>
          </w:tcPr>
          <w:p w14:paraId="245E5D16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5325D8E0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DFDF8F1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7F527547" w14:textId="77777777" w:rsidTr="002B1C71">
        <w:tc>
          <w:tcPr>
            <w:tcW w:w="674" w:type="dxa"/>
          </w:tcPr>
          <w:p w14:paraId="27B8825A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099" w:type="dxa"/>
          </w:tcPr>
          <w:p w14:paraId="6C6D7E79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F99E89C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E7D7DDE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009D" w14:paraId="7673FDA9" w14:textId="77777777" w:rsidTr="002B1C71">
        <w:tc>
          <w:tcPr>
            <w:tcW w:w="674" w:type="dxa"/>
          </w:tcPr>
          <w:p w14:paraId="196A1783" w14:textId="77777777" w:rsidR="0026009D" w:rsidRPr="00CF1655" w:rsidRDefault="0026009D" w:rsidP="002B1C7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099" w:type="dxa"/>
          </w:tcPr>
          <w:p w14:paraId="1614B3AA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</w:tcPr>
          <w:p w14:paraId="333D47A4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50F231F9" w14:textId="77777777" w:rsidR="0026009D" w:rsidRDefault="0026009D" w:rsidP="002B1C7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AD7454A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89FC55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A1F131" w14:textId="77777777" w:rsid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AEB400" w14:textId="77777777" w:rsidR="0026009D" w:rsidRPr="0026009D" w:rsidRDefault="0026009D" w:rsidP="0026009D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009D" w:rsidRPr="0026009D" w:rsidSect="0026009D">
      <w:pgSz w:w="11907" w:h="16839"/>
      <w:pgMar w:top="1134" w:right="708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48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B1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14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33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42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258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D1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82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70"/>
        </w:tabs>
        <w:ind w:left="93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C6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C3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C65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85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812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82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0C7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04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915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E3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D3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8"/>
  </w:num>
  <w:num w:numId="5">
    <w:abstractNumId w:val="11"/>
  </w:num>
  <w:num w:numId="6">
    <w:abstractNumId w:val="0"/>
  </w:num>
  <w:num w:numId="7">
    <w:abstractNumId w:val="4"/>
  </w:num>
  <w:num w:numId="8">
    <w:abstractNumId w:val="13"/>
  </w:num>
  <w:num w:numId="9">
    <w:abstractNumId w:val="1"/>
  </w:num>
  <w:num w:numId="10">
    <w:abstractNumId w:val="17"/>
  </w:num>
  <w:num w:numId="11">
    <w:abstractNumId w:val="5"/>
  </w:num>
  <w:num w:numId="12">
    <w:abstractNumId w:val="9"/>
  </w:num>
  <w:num w:numId="13">
    <w:abstractNumId w:val="12"/>
  </w:num>
  <w:num w:numId="14">
    <w:abstractNumId w:val="15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2A49"/>
    <w:rsid w:val="0026009D"/>
    <w:rsid w:val="002D33B1"/>
    <w:rsid w:val="002D3591"/>
    <w:rsid w:val="003514A0"/>
    <w:rsid w:val="004F7E17"/>
    <w:rsid w:val="005A05CE"/>
    <w:rsid w:val="00653AF6"/>
    <w:rsid w:val="006D2A6A"/>
    <w:rsid w:val="007F7B3F"/>
    <w:rsid w:val="00B73A5A"/>
    <w:rsid w:val="00C6593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932A"/>
  <w15:docId w15:val="{88B42DAE-26B1-4C7A-A7B4-D999ECC3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26009D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26009D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basedOn w:val="a0"/>
    <w:link w:val="a4"/>
    <w:uiPriority w:val="1"/>
    <w:rsid w:val="0026009D"/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59"/>
    <w:rsid w:val="0026009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4462</Words>
  <Characters>25435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2026-03-16T08:35:00Z</dcterms:created>
  <dcterms:modified xsi:type="dcterms:W3CDTF">2026-03-16T08:35:00Z</dcterms:modified>
</cp:coreProperties>
</file>