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76" w:rsidRPr="00432C07" w:rsidRDefault="00E42976" w:rsidP="000F67B9">
      <w:pPr>
        <w:suppressAutoHyphens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42976" w:rsidRPr="00432C07" w:rsidRDefault="00E42976" w:rsidP="000F67B9">
      <w:pPr>
        <w:suppressAutoHyphens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42976" w:rsidRPr="00432C07" w:rsidRDefault="00E42976" w:rsidP="000F67B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2976" w:rsidRPr="00432C07" w:rsidRDefault="00E42976" w:rsidP="000F67B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D350BCA" wp14:editId="37120B91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1" name="Рисунок 1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528295" wp14:editId="5A685DDA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" name="Рисунок 2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976" w:rsidRPr="00432C07" w:rsidRDefault="00E42976" w:rsidP="000F67B9">
      <w:pPr>
        <w:spacing w:after="0" w:line="10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976" w:rsidRPr="00432C07" w:rsidRDefault="00E42976" w:rsidP="000F67B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E42976" w:rsidRPr="00432C07" w:rsidRDefault="00E42976" w:rsidP="000F67B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E42976" w:rsidRPr="00432C07" w:rsidRDefault="00E42976" w:rsidP="000F67B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976" w:rsidRPr="00432C07" w:rsidRDefault="00E42976" w:rsidP="000F67B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E42976" w:rsidRPr="00432C07" w:rsidRDefault="00E42976" w:rsidP="000F67B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976" w:rsidRPr="00432C07" w:rsidRDefault="00E42976" w:rsidP="000F67B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E42976" w:rsidRPr="00432C07" w:rsidRDefault="00E42976" w:rsidP="000F67B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42976" w:rsidRPr="00432C07" w:rsidRDefault="00985E2F" w:rsidP="00513139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22.</w:t>
      </w:r>
      <w:r w:rsidR="00E42976">
        <w:rPr>
          <w:rFonts w:ascii="Times New Roman" w:eastAsia="Times New Roman" w:hAnsi="Times New Roman" w:cs="Times New Roman"/>
          <w:sz w:val="24"/>
          <w:szCs w:val="24"/>
          <w:lang w:eastAsia="ar-SA"/>
        </w:rPr>
        <w:t>04.2025</w:t>
      </w:r>
      <w:r w:rsidR="00E42976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</w:t>
      </w:r>
      <w:r w:rsidR="005131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="00E42976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42976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="00E42976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E429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496</w:t>
      </w:r>
    </w:p>
    <w:p w:rsidR="00E42976" w:rsidRPr="00432C07" w:rsidRDefault="00E42976" w:rsidP="000F67B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2976" w:rsidRPr="00432C07" w:rsidRDefault="00E42976" w:rsidP="00513139">
      <w:pPr>
        <w:spacing w:after="0" w:line="276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проведения Недели функционал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ьной грамотности обучающихся в 5</w:t>
      </w: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классах общеобразовательных   организаций в 2024/2025 учебном году</w:t>
      </w:r>
    </w:p>
    <w:p w:rsidR="00E42976" w:rsidRPr="00432C07" w:rsidRDefault="00E42976" w:rsidP="00513139">
      <w:pPr>
        <w:spacing w:after="0" w:line="276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79C9" w:rsidRDefault="00E42976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приказ</w:t>
      </w:r>
      <w:r w:rsidR="00AF29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05.03.2025 № 272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классах общеобразовательных организаций на 2024/2025 учебный год» </w:t>
      </w:r>
      <w:r w:rsidR="00CC4FE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выявления уровня </w:t>
      </w:r>
      <w:proofErr w:type="spellStart"/>
      <w:r w:rsidR="00CC4FE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CC4FE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</w:t>
      </w:r>
      <w:r w:rsidR="00CC4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учащихся 5-х</w:t>
      </w:r>
      <w:r w:rsidR="00CC4FEB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</w:t>
      </w:r>
      <w:r w:rsidR="003D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учреждений района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07.04.2025 по 14.04.2025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проведена Неделя функциональной грамотности по направлениям: читательская грамотность; математическая грамотность; естественнонаучная грамотность; финансовая грамотность; креативное мышление и глобальные компетенции</w:t>
      </w:r>
      <w:r w:rsidR="00792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25A1" w:rsidRPr="005E176B">
        <w:rPr>
          <w:rFonts w:ascii="Times New Roman" w:hAnsi="Times New Roman" w:cs="Times New Roman"/>
          <w:sz w:val="24"/>
          <w:szCs w:val="24"/>
        </w:rPr>
        <w:t>подготовлена аналитическая справка (приложение 1).</w:t>
      </w:r>
    </w:p>
    <w:p w:rsidR="007925A1" w:rsidRDefault="007925A1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информации, приведённой в аналитической справке «</w:t>
      </w:r>
      <w:r w:rsidRPr="007925A1">
        <w:rPr>
          <w:rFonts w:ascii="Times New Roman" w:hAnsi="Times New Roman" w:cs="Times New Roman"/>
          <w:sz w:val="24"/>
          <w:szCs w:val="24"/>
        </w:rPr>
        <w:t>Об итогах проведения Недели функциональной грамотности обучающихся в 5-х классах общеобразовательных организаций в 2024/2025 учебном году</w:t>
      </w:r>
      <w:r>
        <w:rPr>
          <w:rFonts w:ascii="Times New Roman" w:hAnsi="Times New Roman" w:cs="Times New Roman"/>
          <w:sz w:val="24"/>
          <w:szCs w:val="24"/>
        </w:rPr>
        <w:t>» (прилагается</w:t>
      </w:r>
      <w:r w:rsidR="001F79C9">
        <w:rPr>
          <w:rFonts w:ascii="Times New Roman" w:hAnsi="Times New Roman" w:cs="Times New Roman"/>
          <w:sz w:val="24"/>
          <w:szCs w:val="24"/>
        </w:rPr>
        <w:t>)</w:t>
      </w:r>
      <w:r w:rsidR="006C6D47">
        <w:rPr>
          <w:rFonts w:ascii="Times New Roman" w:hAnsi="Times New Roman" w:cs="Times New Roman"/>
          <w:sz w:val="24"/>
          <w:szCs w:val="24"/>
        </w:rPr>
        <w:t>,</w:t>
      </w:r>
    </w:p>
    <w:p w:rsidR="007925A1" w:rsidRDefault="007925A1" w:rsidP="00513139">
      <w:pPr>
        <w:tabs>
          <w:tab w:val="left" w:pos="9072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B14" w:rsidRPr="009A036D" w:rsidRDefault="00224B14" w:rsidP="00513139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24B14" w:rsidRPr="009A036D" w:rsidRDefault="00224B14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9A036D" w:rsidRDefault="00224B14" w:rsidP="00513139">
      <w:pPr>
        <w:numPr>
          <w:ilvl w:val="0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</w:t>
      </w:r>
      <w:r w:rsidR="006C6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функциональной грамотности.</w:t>
      </w:r>
    </w:p>
    <w:p w:rsidR="00224B14" w:rsidRPr="009A036D" w:rsidRDefault="00224B14" w:rsidP="00513139">
      <w:pPr>
        <w:numPr>
          <w:ilvl w:val="0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общеобразовательных учреждений района</w:t>
      </w:r>
    </w:p>
    <w:p w:rsidR="00224B14" w:rsidRPr="009A036D" w:rsidRDefault="00732243" w:rsidP="00513139">
      <w:pPr>
        <w:numPr>
          <w:ilvl w:val="1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учителей-предметников с результатами мониторинга по функциональной грамотности по всем направлениям, и с основными затруднениями учащихся при выполнении предложенных заданий.</w:t>
      </w:r>
      <w:r w:rsidR="00224B14" w:rsidRPr="00FD3369">
        <w:rPr>
          <w:rFonts w:ascii="Times New Roman" w:eastAsia="Calibri" w:hAnsi="Times New Roman" w:cs="Times New Roman"/>
          <w:sz w:val="24"/>
          <w:szCs w:val="24"/>
        </w:rPr>
        <w:t xml:space="preserve"> Акцентировать внимание педагогов на то</w:t>
      </w:r>
      <w:r w:rsidR="00224B14">
        <w:rPr>
          <w:rFonts w:ascii="Times New Roman" w:eastAsia="Calibri" w:hAnsi="Times New Roman" w:cs="Times New Roman"/>
          <w:sz w:val="24"/>
          <w:szCs w:val="24"/>
        </w:rPr>
        <w:t>м, что формирование функциональной</w:t>
      </w:r>
      <w:r w:rsidR="00224B14" w:rsidRPr="00FD3369">
        <w:rPr>
          <w:rFonts w:ascii="Times New Roman" w:eastAsia="Calibri" w:hAnsi="Times New Roman" w:cs="Times New Roman"/>
          <w:sz w:val="24"/>
          <w:szCs w:val="24"/>
        </w:rPr>
        <w:t xml:space="preserve"> грамотности учащихся должно осуществляться в процессе </w:t>
      </w:r>
      <w:r w:rsidR="00513139">
        <w:rPr>
          <w:rFonts w:ascii="Times New Roman" w:eastAsia="Calibri" w:hAnsi="Times New Roman" w:cs="Times New Roman"/>
          <w:sz w:val="24"/>
          <w:szCs w:val="24"/>
        </w:rPr>
        <w:t>обучения всем учебным предметам</w:t>
      </w:r>
    </w:p>
    <w:p w:rsidR="00224B14" w:rsidRDefault="000F67B9" w:rsidP="00513139">
      <w:pPr>
        <w:tabs>
          <w:tab w:val="left" w:pos="426"/>
          <w:tab w:val="left" w:pos="851"/>
        </w:tabs>
        <w:spacing w:after="0" w:line="276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прель 2025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2243" w:rsidRPr="00732243" w:rsidRDefault="00224B14" w:rsidP="00513139">
      <w:pPr>
        <w:tabs>
          <w:tab w:val="left" w:pos="426"/>
          <w:tab w:val="left" w:pos="851"/>
        </w:tabs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732243" w:rsidRPr="00732243">
        <w:t xml:space="preserve"> </w:t>
      </w:r>
      <w:r w:rsidR="00732243" w:rsidRPr="0073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причины низкой результативности участия пятиклассников в мониторинге, итоги заслушать на совещании при директоре </w:t>
      </w:r>
    </w:p>
    <w:p w:rsidR="00732243" w:rsidRDefault="00732243" w:rsidP="00513139">
      <w:pPr>
        <w:tabs>
          <w:tab w:val="left" w:pos="426"/>
          <w:tab w:val="left" w:pos="851"/>
        </w:tabs>
        <w:spacing w:after="0" w:line="276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2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 – июнь 2025;</w:t>
      </w:r>
    </w:p>
    <w:p w:rsidR="00224B14" w:rsidRPr="009A036D" w:rsidRDefault="006C6D47" w:rsidP="00513139">
      <w:pPr>
        <w:tabs>
          <w:tab w:val="left" w:pos="426"/>
          <w:tab w:val="left" w:pos="851"/>
        </w:tabs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2.3.р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утвердить комплекс мероприятий по формированию функциональной грамотности у обучающихся, по использованию электронного банка заданий для оц</w:t>
      </w:r>
      <w:r w:rsidR="005131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 функциональной грамотности</w:t>
      </w:r>
    </w:p>
    <w:p w:rsidR="00224B14" w:rsidRDefault="00224B14" w:rsidP="00513139">
      <w:pPr>
        <w:tabs>
          <w:tab w:val="left" w:pos="426"/>
          <w:tab w:val="left" w:pos="1134"/>
        </w:tabs>
        <w:spacing w:after="0" w:line="276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30.04.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2025;</w:t>
      </w:r>
    </w:p>
    <w:p w:rsidR="00224B14" w:rsidRPr="009A036D" w:rsidRDefault="00224B14" w:rsidP="00513139">
      <w:pPr>
        <w:tabs>
          <w:tab w:val="left" w:pos="426"/>
          <w:tab w:val="left" w:pos="1134"/>
        </w:tabs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вопросы формирования функциональной грамотности по ее различным направлениям в систему методической работы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</w:p>
    <w:p w:rsidR="00224B14" w:rsidRPr="009A036D" w:rsidRDefault="00224B14" w:rsidP="00513139">
      <w:pPr>
        <w:tabs>
          <w:tab w:val="left" w:pos="426"/>
          <w:tab w:val="left" w:pos="1134"/>
        </w:tabs>
        <w:spacing w:after="0" w:line="276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2025/2026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6E5C7C" w:rsidRPr="006E5C7C" w:rsidRDefault="006E5C7C" w:rsidP="00513139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</w:t>
      </w:r>
      <w:r w:rsidR="005131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4B14" w:rsidRPr="006E5C7C" w:rsidRDefault="00513139" w:rsidP="00513139">
      <w:pPr>
        <w:pStyle w:val="a5"/>
        <w:numPr>
          <w:ilvl w:val="1"/>
          <w:numId w:val="1"/>
        </w:numPr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в</w:t>
      </w:r>
      <w:r w:rsidR="00224B14" w:rsidRPr="006C4C5F">
        <w:rPr>
          <w:rFonts w:ascii="Times New Roman" w:eastAsia="Calibri" w:hAnsi="Times New Roman" w:cs="Times New Roman"/>
          <w:sz w:val="24"/>
        </w:rPr>
        <w:t>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</w:t>
      </w:r>
    </w:p>
    <w:p w:rsidR="006E5C7C" w:rsidRPr="006C4C5F" w:rsidRDefault="006E5C7C" w:rsidP="00513139">
      <w:pPr>
        <w:pStyle w:val="a5"/>
        <w:spacing w:after="0" w:line="276" w:lineRule="auto"/>
        <w:ind w:left="-567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в течение учебного года;</w:t>
      </w:r>
    </w:p>
    <w:p w:rsidR="00224B14" w:rsidRDefault="00513139" w:rsidP="00513139">
      <w:pPr>
        <w:numPr>
          <w:ilvl w:val="1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способствующие развитию у учащихся навыков применения знаний для решения различных жизненных ситуаций, поискового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исследовательского характера;</w:t>
      </w:r>
    </w:p>
    <w:p w:rsidR="00224B14" w:rsidRPr="009A036D" w:rsidRDefault="00224B14" w:rsidP="00513139">
      <w:pPr>
        <w:numPr>
          <w:ilvl w:val="1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1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C4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в планы работы методических объединений педагогов проведение мастер-классов педагогами, успешно осуществляющими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 по развитию уме</w:t>
      </w:r>
      <w:r w:rsidRPr="00BC4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шести направлениям функциональной грамотности</w:t>
      </w:r>
      <w:r w:rsidRPr="00BC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24B14" w:rsidRPr="009A036D" w:rsidRDefault="00513139" w:rsidP="00513139">
      <w:pPr>
        <w:numPr>
          <w:ilvl w:val="1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разнообразных площадках</w:t>
      </w:r>
    </w:p>
    <w:p w:rsidR="00224B14" w:rsidRPr="009A036D" w:rsidRDefault="00224B14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25.05.2025;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B14" w:rsidRPr="009A036D" w:rsidRDefault="00513139" w:rsidP="00513139">
      <w:pPr>
        <w:numPr>
          <w:ilvl w:val="1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</w:t>
      </w:r>
      <w:r w:rsid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B14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сертифицированные задания по функциональной грамотности, опубликованные в открытом доступе.</w:t>
      </w:r>
    </w:p>
    <w:p w:rsidR="00224B14" w:rsidRPr="009A036D" w:rsidRDefault="00224B14" w:rsidP="00513139">
      <w:pPr>
        <w:numPr>
          <w:ilvl w:val="0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Юрченко О.А.</w:t>
      </w:r>
    </w:p>
    <w:p w:rsidR="00224B14" w:rsidRPr="009A036D" w:rsidRDefault="00224B14" w:rsidP="00513139">
      <w:pPr>
        <w:numPr>
          <w:ilvl w:val="0"/>
          <w:numId w:val="1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данного приказа возложить на директора МБОУ ДО «ЦДЮТ» Т.Н. </w:t>
      </w:r>
      <w:proofErr w:type="spellStart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B14" w:rsidRDefault="00224B14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Default="00224B14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Default="00224B14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432C07" w:rsidRDefault="00224B14" w:rsidP="00513139">
      <w:pPr>
        <w:tabs>
          <w:tab w:val="left" w:pos="426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образования                                                     </w:t>
      </w:r>
      <w:r w:rsidR="005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Дмитрова</w:t>
      </w:r>
    </w:p>
    <w:p w:rsidR="00224B14" w:rsidRDefault="00224B14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Default="005E176B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Default="005E176B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Default="005E176B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Default="005E176B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6B" w:rsidRDefault="005E176B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Default="00224B14" w:rsidP="00513139">
      <w:p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432C07" w:rsidRDefault="00224B14" w:rsidP="00513139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Юрченко Оксана Анатольевна,</w:t>
      </w:r>
    </w:p>
    <w:p w:rsidR="00224B14" w:rsidRDefault="00224B14" w:rsidP="00513139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14"/>
          <w:szCs w:val="24"/>
          <w:lang w:eastAsia="ru-RU"/>
        </w:rPr>
        <w:t>+7 978 020 34 53</w:t>
      </w:r>
    </w:p>
    <w:p w:rsidR="00224B14" w:rsidRPr="00432C07" w:rsidRDefault="00224B14" w:rsidP="000F67B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513139" w:rsidRDefault="00513139" w:rsidP="000F67B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139" w:rsidRDefault="00513139" w:rsidP="000F67B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3139" w:rsidRDefault="00513139" w:rsidP="0051313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13139" w:rsidRPr="00513139" w:rsidRDefault="00DF4383" w:rsidP="0051313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513139">
        <w:rPr>
          <w:rFonts w:ascii="Times New Roman" w:eastAsia="Times New Roman" w:hAnsi="Times New Roman" w:cs="Times New Roman"/>
          <w:lang w:eastAsia="ru-RU"/>
        </w:rPr>
        <w:t>Приложение</w:t>
      </w:r>
      <w:r w:rsidR="00513139" w:rsidRPr="005131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139">
        <w:rPr>
          <w:rFonts w:ascii="Times New Roman" w:eastAsia="Times New Roman" w:hAnsi="Times New Roman" w:cs="Times New Roman"/>
          <w:lang w:eastAsia="ru-RU"/>
        </w:rPr>
        <w:t>к приказу</w:t>
      </w:r>
    </w:p>
    <w:p w:rsidR="00513139" w:rsidRPr="00513139" w:rsidRDefault="00DF4383" w:rsidP="0051313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513139">
        <w:rPr>
          <w:rFonts w:ascii="Times New Roman" w:eastAsia="Times New Roman" w:hAnsi="Times New Roman" w:cs="Times New Roman"/>
          <w:lang w:eastAsia="ru-RU"/>
        </w:rPr>
        <w:t xml:space="preserve"> управления образования</w:t>
      </w:r>
    </w:p>
    <w:p w:rsidR="00DF4383" w:rsidRPr="00513139" w:rsidRDefault="00DF4383" w:rsidP="000F67B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513139">
        <w:rPr>
          <w:rFonts w:ascii="Times New Roman" w:eastAsia="Times New Roman" w:hAnsi="Times New Roman" w:cs="Times New Roman"/>
          <w:lang w:eastAsia="ru-RU"/>
        </w:rPr>
        <w:t xml:space="preserve"> от 22.04.2025 № 496</w:t>
      </w:r>
    </w:p>
    <w:p w:rsidR="00DF4383" w:rsidRPr="00513139" w:rsidRDefault="00DF4383" w:rsidP="000F67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F4383" w:rsidRPr="00DF4383" w:rsidRDefault="00DF4383" w:rsidP="000F67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справка</w:t>
      </w:r>
    </w:p>
    <w:p w:rsidR="006E36AD" w:rsidRDefault="006E36AD" w:rsidP="000F67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6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итогах проведения Недели функциональной грамотности обучающихся в 5-х классах общеобразовательных организаций в 2024/2025 учебном году»</w:t>
      </w:r>
    </w:p>
    <w:p w:rsidR="006E36AD" w:rsidRDefault="006E36AD" w:rsidP="000F67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A0" w:rsidRDefault="003D1EA0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05.03.2025 № 272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организаций на 2024/2025 учебный год»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07.04.2025 по 14.04.2025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проведена Неделя функциональной грамотности по направлениям: читательская грамотность; математическая грамотность; естественнонаучная грамотность; финансовая грамотность; креативное мышление и глобальные компетенции</w:t>
      </w:r>
      <w:r w:rsidR="002E3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EA0" w:rsidRDefault="002E3CFE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</w:t>
      </w:r>
      <w:proofErr w:type="spellStart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учащихся 5-х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</w:t>
      </w:r>
      <w:r w:rsidR="00403E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976" w:rsidRPr="00432C07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составляло 40 минут.</w:t>
      </w:r>
    </w:p>
    <w:p w:rsidR="00E42976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районе </w:t>
      </w:r>
      <w:r w:rsid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</w:t>
      </w:r>
    </w:p>
    <w:p w:rsidR="00403EAA" w:rsidRPr="005F1F98" w:rsidRDefault="00403EAA" w:rsidP="00513139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F98">
        <w:rPr>
          <w:rFonts w:ascii="Times New Roman" w:hAnsi="Times New Roman" w:cs="Times New Roman"/>
          <w:sz w:val="24"/>
          <w:szCs w:val="24"/>
        </w:rPr>
        <w:t>В ходе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F98">
        <w:rPr>
          <w:rFonts w:ascii="Times New Roman" w:hAnsi="Times New Roman" w:cs="Times New Roman"/>
          <w:sz w:val="24"/>
          <w:szCs w:val="24"/>
        </w:rPr>
        <w:t xml:space="preserve"> установлено следующее.</w:t>
      </w:r>
    </w:p>
    <w:p w:rsidR="00C51AFB" w:rsidRPr="00C51AFB" w:rsidRDefault="00E42976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«Читательская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приняло</w:t>
      </w:r>
      <w:r w:rsidRPr="00D62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участие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1386 учащихся 5 классов из 40 ОУ Симферопольского района.</w:t>
      </w:r>
      <w:r w:rsidRPr="0015470D">
        <w:t xml:space="preserve"> </w:t>
      </w:r>
      <w:r w:rsidRPr="0015470D">
        <w:rPr>
          <w:rFonts w:ascii="Times New Roman" w:hAnsi="Times New Roman" w:cs="Times New Roman"/>
          <w:sz w:val="24"/>
        </w:rPr>
        <w:t>Все участники</w:t>
      </w:r>
      <w:r w:rsidRPr="0015470D">
        <w:rPr>
          <w:sz w:val="24"/>
        </w:rPr>
        <w:t xml:space="preserve"> </w:t>
      </w: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справились со всеми заданиями (100%).</w:t>
      </w:r>
      <w:r w:rsidR="003458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51AFB" w:rsidRPr="00C51AFB">
        <w:rPr>
          <w:rFonts w:ascii="Times New Roman" w:hAnsi="Times New Roman" w:cs="Times New Roman"/>
          <w:sz w:val="24"/>
          <w:szCs w:val="24"/>
        </w:rPr>
        <w:t xml:space="preserve">Данная диагностическая работа позволила оценить </w:t>
      </w:r>
      <w:proofErr w:type="spellStart"/>
      <w:r w:rsidR="00C51AFB" w:rsidRPr="00C51AF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C51AFB" w:rsidRPr="00C51AFB">
        <w:rPr>
          <w:rFonts w:ascii="Times New Roman" w:hAnsi="Times New Roman" w:cs="Times New Roman"/>
          <w:sz w:val="24"/>
          <w:szCs w:val="24"/>
        </w:rPr>
        <w:t xml:space="preserve"> у учащихся следующих групп умений: осуществлять поиск информации; ориентироваться в содержании текста; отвечать на вопросы, используя явно заданную в тексте информацию; интерпретировать информацию; отвечать на вопросы, используя неявно заданную информацию; оценивать достоверность предложенной информации; высказывать оценочные суждения на основе текста создавать собственные тексты: применять информацию из текста при решении учебно-практических задач.</w:t>
      </w:r>
    </w:p>
    <w:p w:rsidR="00C51AFB" w:rsidRPr="00C51AFB" w:rsidRDefault="00C51AFB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FB">
        <w:rPr>
          <w:rFonts w:ascii="Times New Roman" w:hAnsi="Times New Roman" w:cs="Times New Roman"/>
          <w:sz w:val="24"/>
          <w:szCs w:val="24"/>
        </w:rPr>
        <w:t>В каждом варианте использовались задания различного типа: задания с выбором единственного верного ответа из четырех предложенных (ВО); задания с кратким ответом (КО); задания с развернутым ответом (РО), в которых требуется самостоятельно написать ответ.</w:t>
      </w:r>
    </w:p>
    <w:p w:rsidR="00C51AFB" w:rsidRPr="00C51AFB" w:rsidRDefault="00C51AFB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FB">
        <w:rPr>
          <w:rFonts w:ascii="Times New Roman" w:hAnsi="Times New Roman" w:cs="Times New Roman"/>
          <w:sz w:val="24"/>
          <w:szCs w:val="24"/>
        </w:rPr>
        <w:t>В каждом варианте представлены задания базового (Б), повышенного (П) и высокого (В) уровней сложности. Все варианты диагностической работы равноценны как по средней трудности, так и по примерному времени выполнения.</w:t>
      </w:r>
    </w:p>
    <w:p w:rsidR="00115A6D" w:rsidRDefault="00C51AFB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FB">
        <w:rPr>
          <w:rFonts w:ascii="Times New Roman" w:hAnsi="Times New Roman" w:cs="Times New Roman"/>
          <w:sz w:val="24"/>
          <w:szCs w:val="24"/>
        </w:rPr>
        <w:t xml:space="preserve">Читательская грамотность в рамках данного мониторинга определялась как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 </w:t>
      </w:r>
    </w:p>
    <w:p w:rsidR="00902CF8" w:rsidRDefault="00902CF8" w:rsidP="00513139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CF8">
        <w:rPr>
          <w:rFonts w:ascii="Times New Roman" w:hAnsi="Times New Roman" w:cs="Times New Roman"/>
          <w:sz w:val="24"/>
          <w:szCs w:val="24"/>
        </w:rPr>
        <w:t>Уровни овладения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CF8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902CF8">
        <w:rPr>
          <w:rFonts w:ascii="Times New Roman" w:hAnsi="Times New Roman" w:cs="Times New Roman"/>
          <w:sz w:val="24"/>
          <w:szCs w:val="24"/>
        </w:rPr>
        <w:t xml:space="preserve"> умениям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CF8">
        <w:rPr>
          <w:rFonts w:ascii="Times New Roman" w:hAnsi="Times New Roman" w:cs="Times New Roman"/>
          <w:sz w:val="24"/>
          <w:szCs w:val="24"/>
        </w:rPr>
        <w:t>(средний показатель от общего количества участвующих в мониторинге)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902CF8">
        <w:rPr>
          <w:rFonts w:ascii="Times New Roman" w:hAnsi="Times New Roman" w:cs="Times New Roman"/>
          <w:sz w:val="24"/>
          <w:szCs w:val="24"/>
        </w:rPr>
        <w:t>ысокий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45,3%; с</w:t>
      </w:r>
      <w:r w:rsidRPr="008E50E7">
        <w:rPr>
          <w:rFonts w:ascii="Times New Roman" w:hAnsi="Times New Roman"/>
          <w:color w:val="000000"/>
          <w:sz w:val="24"/>
          <w:szCs w:val="24"/>
          <w:lang w:eastAsia="ru-RU"/>
        </w:rPr>
        <w:t>редний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- 47</w:t>
      </w:r>
      <w:r w:rsidRPr="008E50E7">
        <w:rPr>
          <w:rFonts w:ascii="Times New Roman" w:hAnsi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 н</w:t>
      </w:r>
      <w:r w:rsidRPr="008E50E7">
        <w:rPr>
          <w:rFonts w:ascii="Times New Roman" w:hAnsi="Times New Roman"/>
          <w:color w:val="000000"/>
          <w:sz w:val="24"/>
          <w:szCs w:val="24"/>
          <w:lang w:eastAsia="ru-RU"/>
        </w:rPr>
        <w:t>изкий</w:t>
      </w:r>
      <w:r w:rsidR="00186E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- 8</w:t>
      </w:r>
      <w:r w:rsidR="00186E23" w:rsidRPr="008E50E7">
        <w:rPr>
          <w:rFonts w:ascii="Times New Roman" w:hAnsi="Times New Roman"/>
          <w:color w:val="000000"/>
          <w:sz w:val="24"/>
          <w:szCs w:val="24"/>
          <w:lang w:eastAsia="ru-RU"/>
        </w:rPr>
        <w:t>%</w:t>
      </w:r>
      <w:r w:rsidR="00186E2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42976" w:rsidRDefault="00E42976" w:rsidP="00513139">
      <w:pPr>
        <w:spacing w:after="0" w:line="276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Анализ </w:t>
      </w:r>
      <w:r w:rsidR="00186E23">
        <w:rPr>
          <w:rFonts w:ascii="Times New Roman" w:hAnsi="Times New Roman"/>
          <w:color w:val="000000"/>
          <w:sz w:val="24"/>
          <w:szCs w:val="24"/>
          <w:lang w:eastAsia="ru-RU"/>
        </w:rPr>
        <w:t>результатов мониторинга</w:t>
      </w: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показывает, что в основн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ом у учащихся 5 класса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метапред</w:t>
      </w: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метные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сформированы на среднем уровне.</w:t>
      </w:r>
    </w:p>
    <w:p w:rsidR="00E42976" w:rsidRPr="00E42976" w:rsidRDefault="00E42976" w:rsidP="00513139">
      <w:pPr>
        <w:spacing w:after="0" w:line="276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Высокую успешность выполнения заданий (высокий уровень, больше 45%) показали учащиеся следующих МБОУ: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Журавлевская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 (91 %), «Винницкая школа» (78 %),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школа-гимназия им. Тарасюка И.С.» (78 %), «Донская школа имени В. П. Давиденко» (74 %),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 (67 %), «Гвардейская школа № 1» (64 %), «Кон-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стантиновская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 (62 %),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 (62 %),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Новоселовская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 (61 %),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 (58 %), «Урожайновская школа им. К. В. Варлыгина» (57 %),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Родниковская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школа-гимназия» (55 %), «Гвардейская школа-гимназия</w:t>
      </w:r>
      <w:r w:rsidR="00513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№3» (51 %), «</w:t>
      </w:r>
      <w:proofErr w:type="spellStart"/>
      <w:r w:rsidR="00513139">
        <w:rPr>
          <w:rFonts w:ascii="Times New Roman" w:hAnsi="Times New Roman"/>
          <w:color w:val="000000"/>
          <w:sz w:val="24"/>
          <w:szCs w:val="24"/>
          <w:lang w:eastAsia="ru-RU"/>
        </w:rPr>
        <w:t>Кле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основная школа» (50 %), «Первомайская школа» (47 %).</w:t>
      </w:r>
    </w:p>
    <w:p w:rsidR="00C100E6" w:rsidRDefault="00DF13DF" w:rsidP="00513139">
      <w:pPr>
        <w:spacing w:after="0" w:line="276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Однако 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в МБОУ «Винницкая школа», МБОУ «Гвардейская школа №1», МБОУ «Гвардейская школа-гимназия №3», МБОУ «Донская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 №1 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им.Авраамова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Г.Н.»,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языком обучения», МБОУ «Константиновская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«Мирновская школа №1»,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Новосёловская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«Партизанская школа 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им.А.П.Богданова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МБОУ «Перовская школа-гимназия 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им.Г.А.Хачирашвили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», МБОУ «Первомайская школа», МБОУ «Пожарская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Скворцовская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«Урожайновская школа им. 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К.В.Варлыгина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Широковская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Залесская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«За-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речненская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 им.126 ОГББО», МБОУ «Лицей Крымской весны»,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Трехпрудненская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школа-гимназия им. К. Д. Ушинского», МБОУ «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 №2», МБОУ «Добровская школа-гимназия </w:t>
      </w:r>
      <w:proofErr w:type="spellStart"/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им.Я.М.Слонимско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», МБОУ «Мирновская школа №2» есть учащиеся, которые имеют низкий процент выполнения ряда заданий.</w:t>
      </w:r>
    </w:p>
    <w:p w:rsidR="00E42976" w:rsidRPr="00E42976" w:rsidRDefault="00E42976" w:rsidP="00513139">
      <w:pPr>
        <w:spacing w:after="0" w:line="276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 w:rsidR="009D0682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9D0682" w:rsidRPr="00E42976">
        <w:rPr>
          <w:rFonts w:ascii="Times New Roman" w:hAnsi="Times New Roman"/>
          <w:color w:val="000000"/>
          <w:sz w:val="24"/>
          <w:szCs w:val="24"/>
          <w:lang w:eastAsia="ru-RU"/>
        </w:rPr>
        <w:t>чащиеся 5 классов владеют читательскими у</w:t>
      </w:r>
      <w:r w:rsidR="009D0682">
        <w:rPr>
          <w:rFonts w:ascii="Times New Roman" w:hAnsi="Times New Roman"/>
          <w:color w:val="000000"/>
          <w:sz w:val="24"/>
          <w:szCs w:val="24"/>
          <w:lang w:eastAsia="ru-RU"/>
        </w:rPr>
        <w:t>мениями на среднем уровне. Высо</w:t>
      </w:r>
      <w:r w:rsidR="009D0682" w:rsidRPr="00E42976">
        <w:rPr>
          <w:rFonts w:ascii="Times New Roman" w:hAnsi="Times New Roman"/>
          <w:color w:val="000000"/>
          <w:sz w:val="24"/>
          <w:szCs w:val="24"/>
          <w:lang w:eastAsia="ru-RU"/>
        </w:rPr>
        <w:t>кие результаты в ходе изучения уровня читательской</w:t>
      </w:r>
      <w:r w:rsidR="009D06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грамотности достигнуты в основ</w:t>
      </w:r>
      <w:r w:rsidR="009D0682"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ном благодаря успешному выполнению группы заданий, проверяющих умение находить ин</w:t>
      </w:r>
      <w:r w:rsidR="00ED71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формацию, заданную в явном виде: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се участники исследования успешно справились с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даниями на проверку умения нахо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дить информацию, заданную в явном виде. Вызвали затруднения задания на проверку умения интегрировать и интерпретировать информа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цию текста. Самыми сложными ока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зались задания на проверку умения анализировать и оценивать содержание текста.</w:t>
      </w:r>
    </w:p>
    <w:p w:rsidR="00E42976" w:rsidRPr="00E56502" w:rsidRDefault="00E42976" w:rsidP="00513139">
      <w:pPr>
        <w:spacing w:after="0" w:line="276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Наибольшее количество ошибок допустили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частники исследования при выпол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нении заданий, в которых было необходимо: постоянно обращаться к тексту в поисках ответа на заданный вопрос; выделять основную и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торостепенную информацию; извле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кать из текста единицы информации, объединенные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бщей темой; формулировать логич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ные умозаключения на основе информации, приведен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ной в тексте, приобретенных зна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ний и собственного опыта; излагать свои мысли в письменной форме; высказывать свои оценочные суждения и аргументировать свою точку 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рения о прочитанном тексте; фор</w:t>
      </w:r>
      <w:r w:rsidRPr="00E42976">
        <w:rPr>
          <w:rFonts w:ascii="Times New Roman" w:hAnsi="Times New Roman"/>
          <w:color w:val="000000"/>
          <w:sz w:val="24"/>
          <w:szCs w:val="24"/>
          <w:lang w:eastAsia="ru-RU"/>
        </w:rPr>
        <w:t>мулировать ответы, требующие свободной формы высказывания собственного мнения.</w:t>
      </w:r>
    </w:p>
    <w:p w:rsidR="00ED711D" w:rsidRPr="00ED711D" w:rsidRDefault="00ED711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совершенствования читательских умений учащихся использовать в процессе обучения учебному предмету следующие виды заданий:</w:t>
      </w:r>
    </w:p>
    <w:p w:rsidR="00ED711D" w:rsidRPr="00ED711D" w:rsidRDefault="00ED711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формирования у учащихся читательского умения находить и извлекать информацию из текста рекомендуется предлагать им задания, в которых необходимо: — после внимательного, осознанного прочтения текста находить и вычленять в тексте фрагмент или фрагменты, требующиеся для ответа на заданный вопрос; выстраивать последовательность описываемых событий, делать простые выводы по содержанию текста; обнаруживать соответствие между частью текста и его общей идеей, сопоставлять информацию из разных частей текста; объяснять назначение карты, рисунка, пояснять части графика или таблицы и др.; определять лексическое </w:t>
      </w: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незнакомого слова (термина) не только по справочной литературе, но и на основе контекста.</w:t>
      </w:r>
    </w:p>
    <w:p w:rsidR="00ED711D" w:rsidRPr="00ED711D" w:rsidRDefault="00ED711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формирования у учащихся читательского умения интегрировать и </w:t>
      </w:r>
      <w:r w:rsidR="00F761FF"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текста рекомендуется предлагать им задания, в которых требуется  выделять основную и второстепенную информацию, извлекать из текста единицы ин-формации, объединенные общей темой; обнаруживать в тексте доводы в подтверждение выдвинутых тезисов; аргументировано, связно, последовательно отвечать на вопрос в письменной форме, используя информацию исходного текста; формировать на основе текста систему аргументов (доводов) для обоснования определенной позиции; сопоставлять разные точки зрения и разные источники информации по заданной теме; различать информацию, заданную в тексте, и информацию, которой учащиеся владеют на основе своего личного опыта.</w:t>
      </w:r>
    </w:p>
    <w:p w:rsidR="00ED711D" w:rsidRDefault="00ED711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формирования читательского умения анализировать и оценивать содержание текста рекомендуется предлагать задания, в которых требуется размышлять об информации, сообщенной в тексте; высказывать согласие или несогласие с авторской позицией, мотивировать его; оценивать утверждение текста с точки зрения собственных моральных или эстетических представлений; формулировать логические умозаключения на основе информации, приведенной в тексте, приобретенных знаний и собственного опыта; вы-сказывать свою собственную точку зрения о том, что обсуждается в тексте, и </w:t>
      </w:r>
      <w:r w:rsidR="00F761FF"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Pr="00ED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ее; при оценке содержания текста обращать внимание не только на главные характеристики текста, но и на детали.</w:t>
      </w:r>
    </w:p>
    <w:p w:rsidR="00513139" w:rsidRDefault="00E42976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«Математическая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</w:t>
      </w:r>
      <w:r w:rsidR="001E7EAB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>ло участие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5729D" w:rsidRPr="008572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1859 учащихся из 39 МБОУ Симферопольского района. Наибольшее количество участников, принимавших участие в мониторинге, в МБОУ: «Лицей Крымской весны» (134), «Добровская школа-гимназия </w:t>
      </w:r>
      <w:proofErr w:type="spellStart"/>
      <w:r w:rsidR="0085729D" w:rsidRPr="0085729D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="0085729D" w:rsidRPr="0085729D">
        <w:rPr>
          <w:rFonts w:ascii="Times New Roman" w:eastAsia="Calibri" w:hAnsi="Times New Roman" w:cs="Times New Roman"/>
          <w:sz w:val="24"/>
          <w:szCs w:val="24"/>
          <w:lang w:eastAsia="ru-RU"/>
        </w:rPr>
        <w:t>» (117</w:t>
      </w:r>
      <w:r w:rsidR="008572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="0085729D" w:rsidRPr="0085729D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85729D" w:rsidRPr="0085729D">
        <w:rPr>
          <w:rFonts w:ascii="Times New Roman" w:eastAsia="Calibri" w:hAnsi="Times New Roman" w:cs="Times New Roman"/>
          <w:sz w:val="24"/>
          <w:szCs w:val="24"/>
          <w:lang w:eastAsia="ru-RU"/>
        </w:rPr>
        <w:t>Заречненскя</w:t>
      </w:r>
      <w:proofErr w:type="spellEnd"/>
      <w:r w:rsidR="0085729D" w:rsidRPr="008572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им.126 ОГББО» (103), «Гвардейская школа №1» (83).</w:t>
      </w:r>
      <w:r w:rsidR="008572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2976" w:rsidRPr="00E56502" w:rsidRDefault="0085729D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Предложенная работа по ФГ (математической грамотности) содержала задания низкого, среднего уровня сложности.  Задания были подобраны по уровням сложности, оценивались в 1 и 2 балла. В задании №1 (низкий уровень сложности) проверялись умения </w:t>
      </w:r>
      <w:r w:rsidRPr="00E56502">
        <w:rPr>
          <w:rFonts w:ascii="Times New Roman" w:eastAsia="Calibri" w:hAnsi="Times New Roman" w:cs="Times New Roman"/>
          <w:sz w:val="24"/>
        </w:rPr>
        <w:t>находить часть от целого числа, выполнять действие с десятичными числами.</w:t>
      </w:r>
      <w:r w:rsidRPr="00E56502">
        <w:rPr>
          <w:rFonts w:ascii="Times New Roman" w:eastAsia="Calibri" w:hAnsi="Times New Roman" w:cs="Times New Roman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В задании №2 (средний уровень сложности) проверялось умение </w:t>
      </w:r>
      <w:r w:rsidRPr="00E56502">
        <w:rPr>
          <w:rFonts w:ascii="Times New Roman" w:eastAsia="Calibri" w:hAnsi="Times New Roman" w:cs="Times New Roman"/>
          <w:sz w:val="24"/>
        </w:rPr>
        <w:t>сравнивать</w:t>
      </w:r>
      <w:r w:rsidRPr="00E5650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части</w:t>
      </w:r>
      <w:r w:rsidRPr="00E5650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числа</w:t>
      </w:r>
      <w:r w:rsidRPr="00E5650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и</w:t>
      </w:r>
      <w:r w:rsidRPr="00E5650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делать</w:t>
      </w:r>
      <w:r w:rsidRPr="00E5650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вывод.</w:t>
      </w:r>
      <w:r w:rsidR="00055F46">
        <w:rPr>
          <w:rFonts w:ascii="Times New Roman" w:eastAsia="Calibri" w:hAnsi="Times New Roman" w:cs="Times New Roman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В задании №3 (средний уровень сложности) проверялись умения </w:t>
      </w:r>
      <w:r w:rsidRPr="00E56502">
        <w:rPr>
          <w:rFonts w:ascii="Times New Roman" w:eastAsia="Calibri" w:hAnsi="Times New Roman" w:cs="Times New Roman"/>
          <w:sz w:val="24"/>
        </w:rPr>
        <w:t>применять деление на натуральное число, переводить единицы</w:t>
      </w:r>
      <w:r w:rsidRPr="00E5650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измерения</w:t>
      </w:r>
      <w:r w:rsidRPr="00E5650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>времени (часы в минуты).</w:t>
      </w:r>
    </w:p>
    <w:p w:rsidR="0085729D" w:rsidRPr="00E56502" w:rsidRDefault="0085729D" w:rsidP="00513139">
      <w:pPr>
        <w:spacing w:after="0" w:line="276" w:lineRule="auto"/>
        <w:ind w:left="-567"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Анализируя результаты мониторинга, можно констатировать, что лучше всего в ходе работы учащиеся справились с группой заданий, направленных на </w:t>
      </w:r>
      <w:proofErr w:type="gramStart"/>
      <w:r w:rsidRPr="00E56502">
        <w:rPr>
          <w:rFonts w:ascii="Times New Roman" w:eastAsia="Calibri" w:hAnsi="Times New Roman" w:cs="Times New Roman"/>
          <w:sz w:val="24"/>
        </w:rPr>
        <w:t>нахо</w:t>
      </w:r>
      <w:r w:rsidR="00513139">
        <w:rPr>
          <w:rFonts w:ascii="Times New Roman" w:eastAsia="Calibri" w:hAnsi="Times New Roman" w:cs="Times New Roman"/>
          <w:sz w:val="24"/>
        </w:rPr>
        <w:t>ждение  части</w:t>
      </w:r>
      <w:proofErr w:type="gramEnd"/>
      <w:r w:rsidRPr="00E56502">
        <w:rPr>
          <w:rFonts w:ascii="Times New Roman" w:eastAsia="Calibri" w:hAnsi="Times New Roman" w:cs="Times New Roman"/>
          <w:sz w:val="24"/>
        </w:rPr>
        <w:t xml:space="preserve"> от целого числа, выполн</w:t>
      </w:r>
      <w:r w:rsidR="00513139">
        <w:rPr>
          <w:rFonts w:ascii="Times New Roman" w:eastAsia="Calibri" w:hAnsi="Times New Roman" w:cs="Times New Roman"/>
          <w:sz w:val="24"/>
        </w:rPr>
        <w:t>ение действий</w:t>
      </w:r>
      <w:r w:rsidRPr="00E56502">
        <w:rPr>
          <w:rFonts w:ascii="Times New Roman" w:eastAsia="Calibri" w:hAnsi="Times New Roman" w:cs="Times New Roman"/>
          <w:sz w:val="24"/>
        </w:rPr>
        <w:t xml:space="preserve"> с десятичными</w:t>
      </w:r>
      <w:r w:rsidRPr="00E56502">
        <w:rPr>
          <w:rFonts w:ascii="Times New Roman" w:eastAsia="Calibri" w:hAnsi="Times New Roman" w:cs="Times New Roman"/>
          <w:spacing w:val="-57"/>
          <w:sz w:val="24"/>
        </w:rPr>
        <w:t xml:space="preserve"> </w:t>
      </w:r>
      <w:r w:rsidRPr="00E56502">
        <w:rPr>
          <w:rFonts w:ascii="Times New Roman" w:eastAsia="Calibri" w:hAnsi="Times New Roman" w:cs="Times New Roman"/>
          <w:sz w:val="24"/>
        </w:rPr>
        <w:t xml:space="preserve">дробями. </w:t>
      </w:r>
      <w:r w:rsidRPr="00E56502">
        <w:rPr>
          <w:rFonts w:ascii="Times New Roman" w:eastAsia="Calibri" w:hAnsi="Times New Roman" w:cs="Times New Roman"/>
          <w:sz w:val="24"/>
          <w:szCs w:val="24"/>
        </w:rPr>
        <w:t>Это задания №1 (низкий уровень сложности). Затруднения у обучающихся возникли при выполнении заданий №2, №3 (средний уровень сложности). По итогам выполнения работы набрали в среднем 0б-29%, 1б-40%, 2б-31%.</w:t>
      </w:r>
    </w:p>
    <w:p w:rsidR="0085729D" w:rsidRPr="00E56502" w:rsidRDefault="0085729D" w:rsidP="00513139">
      <w:pPr>
        <w:spacing w:after="0" w:line="276" w:lineRule="auto"/>
        <w:ind w:left="-567"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Наибольший процент невыполнения заданий низкого уровня сложности (более, чем средний по району) в МБОУ: «Молодежненская школа №2» -59%, «Гвардейская школа №1» -89%,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Скворцовская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-63%,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-57%,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Перевальненская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им.Ф.И.Федоренко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>» -67%,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Чайкинская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-74%,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-70%.</w:t>
      </w:r>
    </w:p>
    <w:p w:rsidR="005E176B" w:rsidRDefault="0085729D" w:rsidP="00513139">
      <w:pPr>
        <w:spacing w:after="0" w:line="276" w:lineRule="auto"/>
        <w:ind w:left="-567"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Наибольший процент выполнения заданий, оцениваемых одним баллом в МБОУ: «Украинская школа» -88%,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 №2 с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крымскотатрским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 -87,5%, «Винницкая школа» -85%, «Лицей Крымской весны» -82%,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-91%, «Добровская школа-гимназия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им.Я.М.Слонимского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» -92%, «Донская школа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им.В.П.Давиденко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>» -81%,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Родниковская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школа-гимназия» -</w:t>
      </w:r>
      <w:r w:rsidR="005E176B">
        <w:rPr>
          <w:rFonts w:ascii="Times New Roman" w:eastAsia="Calibri" w:hAnsi="Times New Roman" w:cs="Times New Roman"/>
          <w:sz w:val="24"/>
          <w:szCs w:val="24"/>
        </w:rPr>
        <w:t>84,7%, «</w:t>
      </w:r>
      <w:proofErr w:type="spellStart"/>
      <w:r w:rsidR="005E176B">
        <w:rPr>
          <w:rFonts w:ascii="Times New Roman" w:eastAsia="Calibri" w:hAnsi="Times New Roman" w:cs="Times New Roman"/>
          <w:sz w:val="24"/>
          <w:szCs w:val="24"/>
        </w:rPr>
        <w:t>Трудовская</w:t>
      </w:r>
      <w:proofErr w:type="spellEnd"/>
      <w:r w:rsidR="005E176B">
        <w:rPr>
          <w:rFonts w:ascii="Times New Roman" w:eastAsia="Calibri" w:hAnsi="Times New Roman" w:cs="Times New Roman"/>
          <w:sz w:val="24"/>
          <w:szCs w:val="24"/>
        </w:rPr>
        <w:t xml:space="preserve"> школа» -98%.</w:t>
      </w:r>
    </w:p>
    <w:p w:rsidR="0085729D" w:rsidRPr="00E56502" w:rsidRDefault="0085729D" w:rsidP="00513139">
      <w:pPr>
        <w:spacing w:after="0" w:line="276" w:lineRule="auto"/>
        <w:ind w:left="-567"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 выполнении задания №2, №3 (задание среднего уровня сложности) функциональной математической грамотности необходимо </w:t>
      </w:r>
      <w:r w:rsidR="005131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было </w:t>
      </w:r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применить математические знания в различных контекстах. Данные задания выполнили</w:t>
      </w:r>
      <w:r w:rsidR="005131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33% обучающихся</w:t>
      </w:r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не справились-26%, 43%-справились частично. Низкий процент выполнения заданий (не справились), оцениваемых в 2 балла в МБОУ: «Молодежненская школа №2» -43,5%, «Перовская школа-гимназия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им.А.Г.Хачирашвили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» -52%,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школа» -45%,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им.Ф.И.Федоренко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» -42,5%, «Пожарская школа» -45%. Высокий процент выполнения заданий, оцениваемых в 2 балла (справились) в МБОУ: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 -62%,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 -51%, «Добровская школа-гимназия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» -64,5%,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языком обучения» -51,5%,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им.К.Д.Ушинского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  <w:lang w:eastAsia="ru-RU"/>
        </w:rPr>
        <w:t>» -45%.</w:t>
      </w:r>
    </w:p>
    <w:p w:rsidR="00E42976" w:rsidRPr="00E56502" w:rsidRDefault="0085729D" w:rsidP="00513139">
      <w:pPr>
        <w:widowControl w:val="0"/>
        <w:autoSpaceDE w:val="0"/>
        <w:autoSpaceDN w:val="0"/>
        <w:spacing w:after="0" w:line="276" w:lineRule="auto"/>
        <w:ind w:left="-567" w:right="2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502">
        <w:rPr>
          <w:rFonts w:ascii="Times New Roman" w:eastAsia="Times New Roman" w:hAnsi="Times New Roman" w:cs="Times New Roman"/>
          <w:sz w:val="24"/>
          <w:szCs w:val="24"/>
        </w:rPr>
        <w:t xml:space="preserve">Уровень освоения основных компетенций, определяющих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математической, средний и ниже. Лучше всего обучающиеся выполнили задание низкого уровня сложности, процент выполнения-66%. С заданиями среднего уровня сложности полностью справились -32% обучающихся. При этом значительная часть учащихся даже на фоне интереса к описанной</w:t>
      </w:r>
      <w:r w:rsidRPr="00E5650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E5650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Pr="00E5650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неумение</w:t>
      </w:r>
      <w:r w:rsidRPr="00E5650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прочитать</w:t>
      </w:r>
      <w:r w:rsidRPr="00E5650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предложенный</w:t>
      </w:r>
      <w:r w:rsidRPr="00E5650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текст, выбрать информацию, применить предложенные в качестве дополнительных</w:t>
      </w:r>
      <w:r w:rsidRPr="00E565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сведений факты или формулы, вычленить из реальной ситуации предметные</w:t>
      </w:r>
      <w:r w:rsidRPr="00E565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аспекты. Многие учащиеся испытывают серьезные затруднения при вычленении необходимой информации из текста, таблиц, диаграмм и схем. Ответы</w:t>
      </w:r>
      <w:r w:rsidRPr="00E565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</w:rPr>
        <w:t>учащихся демонстрируют неумение переводить информацию из одного формата в другой. Большинство учащихся испытывают затруднения</w:t>
      </w:r>
      <w:r w:rsidRPr="0085729D">
        <w:rPr>
          <w:rFonts w:ascii="Times New Roman" w:eastAsia="Times New Roman" w:hAnsi="Times New Roman" w:cs="Times New Roman"/>
          <w:sz w:val="24"/>
          <w:szCs w:val="24"/>
        </w:rPr>
        <w:t xml:space="preserve"> с переносом</w:t>
      </w:r>
      <w:r w:rsidRPr="008572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729D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8572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29D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85729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5729D">
        <w:rPr>
          <w:rFonts w:ascii="Times New Roman" w:eastAsia="Times New Roman" w:hAnsi="Times New Roman" w:cs="Times New Roman"/>
          <w:sz w:val="24"/>
          <w:szCs w:val="24"/>
        </w:rPr>
        <w:t>знаний в</w:t>
      </w:r>
      <w:r w:rsidRPr="008572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729D">
        <w:rPr>
          <w:rFonts w:ascii="Times New Roman" w:eastAsia="Times New Roman" w:hAnsi="Times New Roman" w:cs="Times New Roman"/>
          <w:sz w:val="24"/>
          <w:szCs w:val="24"/>
        </w:rPr>
        <w:t>новые ситуации.</w:t>
      </w:r>
    </w:p>
    <w:p w:rsidR="005E176B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мониторинге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«Естественнонаучная грамотность»</w:t>
      </w:r>
      <w:r w:rsidRPr="0086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1909 учащихся 5-х классов </w:t>
      </w:r>
      <w:r w:rsid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МБОУ района, что составляет 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86,7% от общего ко</w:t>
      </w:r>
      <w:r w:rsid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личества учащихся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научное объяснение явлений, понимание особенностей естественнонаучного исследования, интерпретация данных и использование доказательств для получения выводов. </w:t>
      </w:r>
    </w:p>
    <w:p w:rsidR="005E176B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338 учащихся (17,7%),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1122 учащихся (58,8 %), высокий - 449 учащихся (23,5%) района.  </w:t>
      </w:r>
    </w:p>
    <w:p w:rsidR="005E176B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5 класса, принявших участие в мониторинге, отс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утствует низкий уровень знаний 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выполненную работу в МБОУ: «Николаевская школа»,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5E176B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показатель высокого уровня в МБОУ: «Донская школа им. В.П. Давиденко»,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 </w:t>
      </w:r>
    </w:p>
    <w:p w:rsidR="005E176B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высокий показатель низкого уровня в МБОУ: «Донская школа им. В.П. Давиденко»,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им.Ф.И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Федоренко», «Перовская школа-гимназия имени Г. А.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«Пожарская школа»,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«Украинская школа»,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школа», что свидетельствует о недостаточной работе учителей по формированию естественнонаучной функциональной грамотности.</w:t>
      </w:r>
    </w:p>
    <w:p w:rsidR="00E42976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свидетельствуют о том, что уровень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функциональной грамотности в районе на среднем уровне – 58,8% от всех учащихся, принявших участие в мониторинге.</w:t>
      </w:r>
    </w:p>
    <w:p w:rsidR="00E42976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грамотность»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F24"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1839 человека, что составило 83% от общего числа обучающихся в 5-х классах (в прошлом учебном году - 841 учащихся, 83%). Справилось с выполнением заданий мониторинга 1473 человека, что </w:t>
      </w:r>
      <w:r w:rsidR="003B3F24"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составило 80% (в прошлом учебном году - 640 учащихся, 76%), не справилось – 366 человек, что составляет 20% (в прошлом учебном году - 201 учащийся, 24%).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1 (Содержательная область оценки: Деньги. 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Выявление финансовой информации) и справились с ним на 100%</w:t>
      </w:r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МБОУ: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3F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 школа»,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справившихся с заданием 1 в МБОУ «Партизанская школа им. А.П. Богданова» (46,94%). Остальные МБОУ справились с выполнением задания на 54-96%.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2 (Содержательная область оценки: Деньги. 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Анализ информации</w:t>
      </w:r>
      <w:r w:rsidR="00985E2F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финансовом контексте) 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справились с ним на 100% учащиеся МБОУ: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«Константиновская школа»,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Остальные МБОУ справились с выполнением задания на 63-97%.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заданием 3 (Содержательная область оценки: Деньги.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Оценка финансовой проблемы) на 100% не справилась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школы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Самый высокий процент выполнения показали обучающиеся МБОУ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языком» (98,66%) и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(98,66%).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правильных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</w:t>
      </w:r>
      <w:proofErr w:type="spellEnd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С.П.Королева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 (5,26%),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(12,5%), «Урожайновская школа им. К.В. Варлыгина» (15%),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(15,38%),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(26%), «Гвардейская школа № 1» (41,67%),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(41,67%), «Мирновская школа № 1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Н.Н.Белова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 (44,93%).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справились с заданием (0%) в МБОУ «Молодежненская школа № 2». Остальные МБОУ справились с выполнением задания на</w:t>
      </w:r>
      <w:r w:rsidRPr="00E565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52-96%.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4 (Содержательная область оценки: Деньги.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Применение финансовых знаний и понимание) и справились с ним на 100% учащиеся МБОУ: «Винницкая школа»,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 выполнением задания на 66-97%.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затруднение вызвал вопрос, связанный с оценкой финансовой проблемы (задание 3), а именно – из предложенных вариантов выбрать несколько правильных ответов, указав причины, по которым бывает рациональнее воспользоваться наличными деньгами (не справилось 86% учащихся). Это говорит о том, что учащи</w:t>
      </w:r>
      <w:r w:rsidR="008068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недостаточно владеют понятиями «наличные деньги» и «безналичные деньги». Чтобы преодолеть данную проблему, можно порекомендовать включать в уроки работу с заданиями о способах оплаты, особенностях наличных и безналичных расчетов.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высокий уровень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</w:t>
      </w:r>
      <w:r w:rsidR="00E0072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финансовой грамотности 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учащиеся МБОУ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(93%).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процент низкого уровня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наблюдается в МБОУ: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В.А. Осипова» (19,51%),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(13,33%), «Донская школа им. В.П. Давиденко» (12%).</w:t>
      </w:r>
    </w:p>
    <w:p w:rsidR="003B3F24" w:rsidRPr="00E56502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Сданы отчеты с ошибками МБОУ «Перовская школа-гимназия им. Г.Н.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(неверно посчитано количество детей и проценты в распределении уровня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компетенций)</w:t>
      </w:r>
    </w:p>
    <w:p w:rsidR="00985E2F" w:rsidRPr="00985E2F" w:rsidRDefault="003B3F24" w:rsidP="00513139">
      <w:pPr>
        <w:tabs>
          <w:tab w:val="left" w:pos="567"/>
        </w:tabs>
        <w:spacing w:after="0" w:line="276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мониторинга выяснилось, что высокий и средний уровень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у учащихся Симферопольского района составил 80,8% (в прошлом учебном году - 91%), ниже среднего – 13,70 (в прошлом учебном году - 6%), низкий уровень – 5,50% (в прошлом учебном году - 3%). </w:t>
      </w:r>
    </w:p>
    <w:p w:rsidR="00E00722" w:rsidRPr="00E00722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«Креативное мышление»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C95" w:rsidRPr="00136C95">
        <w:rPr>
          <w:rFonts w:ascii="Times New Roman" w:eastAsia="Times New Roman" w:hAnsi="Times New Roman" w:cs="Times New Roman"/>
          <w:sz w:val="24"/>
          <w:szCs w:val="24"/>
          <w:lang w:eastAsia="ru-RU"/>
        </w:rPr>
        <w:t>1525 обучающихся 5 классо</w:t>
      </w:r>
      <w:r w:rsid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 36</w:t>
      </w:r>
      <w:r w:rsidR="00136C95" w:rsidRPr="0013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Симферопольского района, 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составило 71,7% от всех обучающихся 5 классов.</w:t>
      </w:r>
    </w:p>
    <w:p w:rsidR="00136C95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итогов мониторинга креативное мышление сформировано у 511 обучающихся (31,6%), не сформировано у 138 обучающегося (8,6%). У 966 пятиклассников (59,8%) средний уровень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E00722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приняли участие в мониторинге 4 МБОУ: «Донская школа имени В.П. Давиденко», «Добровская школа – гимназия имени Я.М. Слонимского»,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Молодёжненская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№2», «Первомайская школа».</w:t>
      </w:r>
    </w:p>
    <w:p w:rsidR="00E00722" w:rsidRPr="00E00722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Наибольшие затруднения пятиклассников вызвали </w:t>
      </w:r>
      <w:r w:rsidR="00BE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задания:</w:t>
      </w:r>
    </w:p>
    <w:p w:rsidR="00E00722" w:rsidRPr="00E00722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содержательная область оценки: визуальное самовыражение (задание с развёрнутым ответом в виде рисунка). Эскиз должен относится к одной из редко встречаемых категорий ответов: – использование предложенных шаблонов, которые за счёт расположения создают какой-либо необычный целостный образ. Целостность и выразительность образа должна достигаться за счёт выбора центра/центров композиции, расположения и ориентации шаблонов, изменения их размеров, цвета, форм и т.д. </w:t>
      </w:r>
    </w:p>
    <w:p w:rsidR="00E00722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6 - содержательная область оценки: письменное самовыражение (задание с развернутым ответом). Предлагалось предложить креативную идею комплимента имениннику, идею комплимента, относящаяся к редко встречающимся ответам.</w:t>
      </w:r>
    </w:p>
    <w:p w:rsidR="00E00722" w:rsidRPr="00E00722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мониторинговой работой (КМ сформировано от 100% до 50%) обучающиеся следующих МБОУ: «Гвардейская школа-гимназия №2» (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66%), «</w:t>
      </w:r>
      <w:proofErr w:type="spellStart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(63%),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рымскотатарским</w:t>
      </w:r>
      <w:proofErr w:type="spellEnd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(50%), «Кубанская школа им. С.П. Королёва» (53%), «Лицей Крымской весны» (54,5%), «Перовская школа-гимназия им. Г.А.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» (50%),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(50%).</w:t>
      </w:r>
    </w:p>
    <w:p w:rsidR="00E00722" w:rsidRPr="00E00722" w:rsidRDefault="00E0072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креативного мышления у обучающихся 5 классов (выше 30%) в 3-х МБОУ: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(34,3%), «Партизанская школа им. А.П. Богданова» (42%), «</w:t>
      </w:r>
      <w:proofErr w:type="spellStart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(48,9%).</w:t>
      </w:r>
    </w:p>
    <w:p w:rsidR="00E42976" w:rsidRDefault="00BE7DFC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</w:t>
      </w:r>
      <w:r w:rsidR="008115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необходимость широкого использования </w:t>
      </w:r>
      <w:proofErr w:type="spellStart"/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="00E00722" w:rsidRPr="00E00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личностно-ориентированного и дифференцированного подходов в процессе обучения. Учителям необходимо иметь реальные представления об уровне подготовки каждого обучающегося и ставить перед ним ту цель, которую он может реализовать. В открытом доступе имеется достаточно большое количество сертифицированных материалов по формированию и оценке функциональной грамотности по ее различным направлениям.</w:t>
      </w:r>
    </w:p>
    <w:p w:rsidR="00E56502" w:rsidRPr="00E56502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«Глобальные компетенции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1766 обучающихся из 39 МБОУ Симфе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ропольского района, при этом не</w:t>
      </w:r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предоставили отчёты МБОУ «Мирновская школа № 1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Н.Н.Белова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МБОУ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Не предоставила сведений об участии МБОУ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E56502" w:rsidRPr="00E56502">
        <w:t xml:space="preserve"> </w:t>
      </w:r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Сдали отчеты с ошибками 13 МБОУ: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«Мирновская школа № 1 им. 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Н.Н.Белова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«Мирновская школа № 2», «Пожарская школа»,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Трёхпрудненская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К.Д.Ушинского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Молодёжненская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В.А.Осипова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«Винницкая школа», «Партизан</w:t>
      </w:r>
      <w:r w:rsid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школа им. </w:t>
      </w:r>
      <w:proofErr w:type="spellStart"/>
      <w:r w:rsid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А.П.Богданова</w:t>
      </w:r>
      <w:proofErr w:type="spellEnd"/>
      <w:r w:rsid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«Николаевская школа» и «Урожайновская школа им. </w:t>
      </w:r>
      <w:proofErr w:type="spellStart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К.В.Варлыгина</w:t>
      </w:r>
      <w:proofErr w:type="spellEnd"/>
      <w:r w:rsidR="00E56502"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Правильно выполнили задание 1 и справились с ним на 100% учащиеся МБОУ: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Новосёловская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Наименьший процент правильных ответов дали учащиеся МБОУ </w:t>
      </w:r>
      <w:r w:rsidRPr="00E56502">
        <w:rPr>
          <w:rFonts w:ascii="Times New Roman" w:eastAsia="Calibri" w:hAnsi="Times New Roman" w:cs="Times New Roman"/>
          <w:sz w:val="24"/>
          <w:szCs w:val="24"/>
        </w:rPr>
        <w:lastRenderedPageBreak/>
        <w:t>«Константиновская школа» (6,66%). Остальные МБОУ справились с выполнением задания на 10% - 97%.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Правильно выполнили задание 2 и справились с ним на 100% учащиеся МБОУ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Новосёловская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школа». Наименьший процент правильных ответов дали учащиеся МБОУ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(44%). Остальные МБОУ справились с выполнением задания на 45% - 97%.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С заданием 3 на 100% не справились ни одни учащиеся из 39 школ. Наименьший процент правильных ответов дали учащиеся МБОУ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(6,25%). Остальные МБОУ справились с выполнением задания на 10% - 95%.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Правильно выполнили задание 4 и справились с ним на 100% учащиеся МБОУ: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 № 2 с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Новосёловская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Родниковская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школа-гимназия»,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Трудовская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и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Чайкинская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школа». Наименьший процент правильных ответов дали учащиеся МБОУ «Донская школа им.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В.П.Давиденко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>» (45,45%). Остальные МБОУ справились с выполнением задания на 48% - 97%.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>Правильно выполнили задание 5 и справились с ним на 100% учащиеся МБОУ: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 № 2 с 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обучения». Наименьший процент правильных ответов дали учащиеся МБОУ «</w:t>
      </w:r>
      <w:proofErr w:type="spellStart"/>
      <w:r w:rsidRPr="00E56502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 школа» (30%). Остальные МБОУ справились с выполнением задания на 35% - 93%.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успешность выполнения заданий (53,55% - 82,98%) показали обучающиеся из 23 МБОУ, в том числе МБОУ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(82,98%).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успешность выполнения заданий (25,625% - 53,55%) наблюдается в 16 МБОУ, в том числе «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Новосёловская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(25,625%),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выполнения заданий в среднем по району составила 53,55%.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02">
        <w:rPr>
          <w:rFonts w:ascii="Times New Roman" w:eastAsia="Calibri" w:hAnsi="Times New Roman" w:cs="Times New Roman"/>
          <w:sz w:val="24"/>
          <w:szCs w:val="24"/>
        </w:rPr>
        <w:t xml:space="preserve">Большинство участников (786 – 40,80%) справились с заданиями на среднем уровне, выполнили от 45% до 65% заданий и показали среднее понимание проблемы. </w:t>
      </w:r>
    </w:p>
    <w:p w:rsidR="00E56502" w:rsidRPr="00E56502" w:rsidRDefault="00E5650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обучающихся применять знания в жизненных ситуациях определяют их приспособленность в условиях современного мира инноваций. Поэтому деятельность, направленная на развитие у учащихся способности переноса, являющегося показателем </w:t>
      </w:r>
      <w:proofErr w:type="spellStart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грамотности, должна быть системной и целенаправленной. </w:t>
      </w:r>
    </w:p>
    <w:p w:rsidR="00E42976" w:rsidRDefault="00E56502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вывод, что н</w:t>
      </w:r>
      <w:r w:rsidRPr="00E56502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успешно ученики справились с заданием № 4 (78,62%) – средний уровень и № 2 (78,29%) – низкий уровень, где предлагалось оценить понимание коммуникативных контекстов и действия и их последствия.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502">
        <w:rPr>
          <w:rFonts w:ascii="Times New Roman" w:hAnsi="Times New Roman"/>
          <w:sz w:val="24"/>
          <w:szCs w:val="24"/>
        </w:rPr>
        <w:t>Наибольшие затруднения вызвало задание № 3 (39,15%) – низкий уровень, где было необходимо оценить действия и их последствия.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502">
        <w:rPr>
          <w:rFonts w:ascii="Times New Roman" w:hAnsi="Times New Roman"/>
          <w:sz w:val="24"/>
          <w:szCs w:val="24"/>
        </w:rPr>
        <w:t>Достаточно успешно все участники исследования справились с заданиями № 1 (69,76%) – низкий уровень и заданием № 5 (67,34%) - высокий уровень, где необходимо оценить информацию и формулировку аргументов</w:t>
      </w:r>
      <w:r>
        <w:rPr>
          <w:rFonts w:ascii="Times New Roman" w:hAnsi="Times New Roman"/>
          <w:sz w:val="24"/>
          <w:szCs w:val="24"/>
        </w:rPr>
        <w:t>.</w:t>
      </w:r>
    </w:p>
    <w:p w:rsidR="00D650F4" w:rsidRPr="00D650F4" w:rsidRDefault="00D650F4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D650F4" w:rsidRPr="00D650F4" w:rsidRDefault="00D650F4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Проведённый анализ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</w:t>
      </w:r>
      <w:proofErr w:type="spellStart"/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по шести направлениям (читательская грамотность, естественнонаучная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грамотность, математическая грамотность, креативного мышления, глобальных компетенций,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грамотности) у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позволяет сделать вывод, что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обучающихся сформированы на базовом уровне.</w:t>
      </w:r>
    </w:p>
    <w:p w:rsidR="00D650F4" w:rsidRPr="00D650F4" w:rsidRDefault="00D650F4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проведенной раб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подтверждает необходимость п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оследовательного осуществления системно-</w:t>
      </w:r>
      <w:proofErr w:type="spellStart"/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преподавании предметов,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активную учебно-познавательную деятельность обучающихся. Необходимо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акцентировать внимание на формировании умений 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льзовать знани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стандартной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50D8"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в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нестандартной с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туации.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</w:t>
      </w:r>
      <w:proofErr w:type="spellStart"/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текстоориентированный</w:t>
      </w:r>
      <w:proofErr w:type="spellEnd"/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</w:t>
      </w:r>
      <w:r w:rsidR="00A9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 используя в педагогической практике не только непрерывные (сплошные), но и составные т</w:t>
      </w:r>
      <w:r w:rsidR="00823C4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ексты. Делать акцент на обучение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пониманию информации из разных текстовых и</w:t>
      </w:r>
      <w:r w:rsidR="0031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источников, что предусматривает формирование таких умений, как анализ, синтез,</w:t>
      </w:r>
      <w:r w:rsidR="0031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и интерпретация информации.</w:t>
      </w:r>
    </w:p>
    <w:p w:rsidR="00B831DE" w:rsidRDefault="00314388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мониторинга</w:t>
      </w:r>
      <w:r w:rsidR="00D650F4"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функциональной грамотности.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DE" w:rsidRPr="00B8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ошибок допустили </w:t>
      </w:r>
      <w:r w:rsidR="00B83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пятиклассники</w:t>
      </w:r>
      <w:r w:rsidR="00B831DE" w:rsidRPr="00B8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заданий, в которых было необходимо: постоянно обращаться к тексту в поисках ответа на заданный вопрос; выделять основную и второстепенную информацию; извлекать из текста единицы информации, объединенные общей темой; формулировать логичные умозаключения на основе информации, приведенной в тексте, приобретенных знаний и собственного опыта; излагать свои мысли в письменной форме; высказывать свои оценочные суждения и аргументировать свою точку зрения о прочитанном тексте; формулировать ответы, требующие свободной формы высказывания собственного мнения.</w:t>
      </w:r>
    </w:p>
    <w:p w:rsidR="002D606D" w:rsidRP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2D606D" w:rsidRP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Ознакомить педагогических работников с результатами мониторинга </w:t>
      </w:r>
      <w:r w:rsidR="00A2323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затруднениями учащихся при выполнении </w:t>
      </w:r>
      <w:r w:rsidR="00EC39BA"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Акцентировать внимание педагогов на том, что формирование </w:t>
      </w:r>
      <w:r w:rsidR="00EC39BA" w:rsidRPr="00EC3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грамотности 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осуществляться в процессе обучения всем учебным предметам. </w:t>
      </w:r>
    </w:p>
    <w:p w:rsidR="002D606D" w:rsidRP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135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Включить в планы работы методических объединений педагогов проведение мастер-классов педагогами, успешно осуществляющими работу по развитию читательских умений; обсуждение вопроса «Эффективные приемы формирования и развития </w:t>
      </w:r>
      <w:r w:rsidR="006C7072"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читательских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учащихся в процессе обучения учебному предмету».</w:t>
      </w:r>
    </w:p>
    <w:p w:rsidR="002D606D" w:rsidRP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135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Оптимизировать деятельность школьной библиотеки и внеклассную работу классных руководителей по пропаганде чтения.</w:t>
      </w:r>
    </w:p>
    <w:p w:rsidR="002D606D" w:rsidRP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135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работу с родителями учащихся по оказанию помощи детям при работе с письменными источниками разных видов (учебной, научной, художественной, справочной литературой, в особенности словарями и энциклопедиями).</w:t>
      </w:r>
    </w:p>
    <w:p w:rsidR="002D606D" w:rsidRP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60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Включить в план воспитательной работы учреждения образования мероприятия, направленные на популяризацию чтения, поддержку и развитие семейного чтения.</w:t>
      </w:r>
    </w:p>
    <w:p w:rsid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6D" w:rsidRDefault="002D606D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5BB" w:rsidRDefault="008115BB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5BB" w:rsidRPr="009A036D" w:rsidRDefault="008115BB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976" w:rsidRPr="009A036D" w:rsidRDefault="00E42976" w:rsidP="00513139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2976" w:rsidRPr="009A036D" w:rsidSect="007B5A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FC6"/>
    <w:multiLevelType w:val="multilevel"/>
    <w:tmpl w:val="62D4D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285641"/>
    <w:multiLevelType w:val="hybridMultilevel"/>
    <w:tmpl w:val="8182E608"/>
    <w:lvl w:ilvl="0" w:tplc="5EFC3C7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76"/>
    <w:rsid w:val="000102C1"/>
    <w:rsid w:val="00055F46"/>
    <w:rsid w:val="000F67B9"/>
    <w:rsid w:val="00115A6D"/>
    <w:rsid w:val="00136C95"/>
    <w:rsid w:val="00186E23"/>
    <w:rsid w:val="001E7EAB"/>
    <w:rsid w:val="001F79C9"/>
    <w:rsid w:val="00207680"/>
    <w:rsid w:val="0021350F"/>
    <w:rsid w:val="00224B14"/>
    <w:rsid w:val="002666A9"/>
    <w:rsid w:val="002D33EE"/>
    <w:rsid w:val="002D4649"/>
    <w:rsid w:val="002D606D"/>
    <w:rsid w:val="002E3CFE"/>
    <w:rsid w:val="00310FA0"/>
    <w:rsid w:val="00314388"/>
    <w:rsid w:val="0034588B"/>
    <w:rsid w:val="003B3F24"/>
    <w:rsid w:val="003D1EA0"/>
    <w:rsid w:val="00403EAA"/>
    <w:rsid w:val="00407EBC"/>
    <w:rsid w:val="00513139"/>
    <w:rsid w:val="005A3852"/>
    <w:rsid w:val="005E176B"/>
    <w:rsid w:val="00654EA2"/>
    <w:rsid w:val="00687942"/>
    <w:rsid w:val="006C6D47"/>
    <w:rsid w:val="006C7072"/>
    <w:rsid w:val="006E36AD"/>
    <w:rsid w:val="006E5C7C"/>
    <w:rsid w:val="00732243"/>
    <w:rsid w:val="00754AF9"/>
    <w:rsid w:val="0078446B"/>
    <w:rsid w:val="007925A1"/>
    <w:rsid w:val="007F324F"/>
    <w:rsid w:val="00806879"/>
    <w:rsid w:val="008115BB"/>
    <w:rsid w:val="00823C43"/>
    <w:rsid w:val="0085729D"/>
    <w:rsid w:val="00902CF8"/>
    <w:rsid w:val="00973295"/>
    <w:rsid w:val="009840F1"/>
    <w:rsid w:val="00985E2F"/>
    <w:rsid w:val="009D0682"/>
    <w:rsid w:val="00A2323B"/>
    <w:rsid w:val="00A950D8"/>
    <w:rsid w:val="00AF291D"/>
    <w:rsid w:val="00B27089"/>
    <w:rsid w:val="00B356D7"/>
    <w:rsid w:val="00B831DE"/>
    <w:rsid w:val="00B83A82"/>
    <w:rsid w:val="00BC4F23"/>
    <w:rsid w:val="00BE7DFC"/>
    <w:rsid w:val="00C100E6"/>
    <w:rsid w:val="00C51AFB"/>
    <w:rsid w:val="00CC4FEB"/>
    <w:rsid w:val="00D650F4"/>
    <w:rsid w:val="00DA535F"/>
    <w:rsid w:val="00DF13DF"/>
    <w:rsid w:val="00DF4383"/>
    <w:rsid w:val="00E00722"/>
    <w:rsid w:val="00E42976"/>
    <w:rsid w:val="00E56502"/>
    <w:rsid w:val="00EC39BA"/>
    <w:rsid w:val="00ED711D"/>
    <w:rsid w:val="00F761FF"/>
    <w:rsid w:val="00FB579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C6AA9-75FE-49FF-A62E-296314E6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97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4297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4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4467</Words>
  <Characters>25466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6</cp:revision>
  <dcterms:created xsi:type="dcterms:W3CDTF">2025-05-05T08:26:00Z</dcterms:created>
  <dcterms:modified xsi:type="dcterms:W3CDTF">2025-05-05T11:30:00Z</dcterms:modified>
</cp:coreProperties>
</file>