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9D" w:rsidRPr="00C5779D" w:rsidRDefault="00C5779D" w:rsidP="00E279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79D">
        <w:rPr>
          <w:rFonts w:ascii="Times New Roman" w:hAnsi="Times New Roman" w:cs="Times New Roman"/>
          <w:b/>
          <w:sz w:val="24"/>
          <w:szCs w:val="24"/>
        </w:rPr>
        <w:t>ФУНКЦИОНАЛЬНЫЙ ПОТЕНЦИАЛ КАТОЙКОНИМОВ В ГАЗЕТНЫХ ТЕКСТАХ</w:t>
      </w:r>
      <w:r w:rsidRPr="00C57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79D">
        <w:rPr>
          <w:rFonts w:ascii="Times New Roman" w:hAnsi="Times New Roman" w:cs="Times New Roman"/>
          <w:b/>
          <w:sz w:val="24"/>
          <w:szCs w:val="24"/>
        </w:rPr>
        <w:t>(на материале муниципальной газеты «Слава труду»)</w:t>
      </w:r>
    </w:p>
    <w:p w:rsidR="00C5779D" w:rsidRPr="00C5779D" w:rsidRDefault="00C5779D" w:rsidP="000F152A">
      <w:pPr>
        <w:widowControl w:val="0"/>
        <w:spacing w:after="16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C5779D">
        <w:rPr>
          <w:rFonts w:ascii="Times New Roman" w:eastAsia="Calibri" w:hAnsi="Times New Roman" w:cs="Times New Roman"/>
          <w:b/>
          <w:kern w:val="2"/>
          <w:sz w:val="24"/>
          <w:szCs w:val="24"/>
          <w:lang w:eastAsia="zh-CN"/>
        </w:rPr>
        <w:t>Мустафаева</w:t>
      </w:r>
      <w:proofErr w:type="spellEnd"/>
      <w:r w:rsidRPr="00C5779D">
        <w:rPr>
          <w:rFonts w:ascii="Times New Roman" w:eastAsia="Calibri" w:hAnsi="Times New Roman" w:cs="Times New Roman"/>
          <w:b/>
          <w:kern w:val="2"/>
          <w:sz w:val="24"/>
          <w:szCs w:val="24"/>
          <w:lang w:eastAsia="zh-CN"/>
        </w:rPr>
        <w:t xml:space="preserve"> Мелия</w:t>
      </w:r>
    </w:p>
    <w:p w:rsidR="00C5779D" w:rsidRPr="00C5779D" w:rsidRDefault="00C5779D" w:rsidP="000F152A">
      <w:pPr>
        <w:widowControl w:val="0"/>
        <w:spacing w:after="16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C5779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10 класс, МБОУ «Бахчисарайская </w:t>
      </w:r>
      <w:r w:rsidRPr="00C5779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Pr="00C5779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СОШ №1» г.</w:t>
      </w:r>
      <w:r w:rsidRPr="00C5779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Бахчисарай</w:t>
      </w:r>
      <w:r w:rsidRPr="00C5779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 Республика Крым</w:t>
      </w:r>
    </w:p>
    <w:p w:rsidR="00E279BD" w:rsidRDefault="00C5779D" w:rsidP="000F152A">
      <w:pPr>
        <w:widowControl w:val="0"/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79D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Научный руководитель:</w:t>
      </w:r>
      <w:r w:rsidRPr="0092643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92643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Прудникова Светлана Вячеславовна</w:t>
      </w:r>
      <w:r w:rsidR="00E279BD" w:rsidRPr="009264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152A" w:rsidRPr="0092643F" w:rsidRDefault="000F152A" w:rsidP="000F152A">
      <w:pPr>
        <w:widowControl w:val="0"/>
        <w:spacing w:after="16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E279BD" w:rsidRPr="006416A2" w:rsidRDefault="00E279BD" w:rsidP="006416A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ариантность подразумевает проблему выбора: как следует называть жителя того или иного города?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известных всем носителям языка, н-р, москвичи, нижегородцы и одесситы, не так много, для большинства этот пласт лексики находится в пассивном запасе. Большая часть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 используется только жителями конкр</w:t>
      </w:r>
      <w:r w:rsidR="0018779D">
        <w:rPr>
          <w:rFonts w:ascii="Times New Roman" w:hAnsi="Times New Roman" w:cs="Times New Roman"/>
          <w:color w:val="000000" w:themeColor="text1"/>
          <w:sz w:val="24"/>
          <w:szCs w:val="24"/>
        </w:rPr>
        <w:t>етных регионов и близких к нему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2643F" w:rsidRDefault="00E279BD" w:rsidP="000F15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152A">
        <w:rPr>
          <w:rFonts w:ascii="Times New Roman" w:hAnsi="Times New Roman" w:cs="Times New Roman"/>
          <w:sz w:val="24"/>
          <w:szCs w:val="24"/>
        </w:rPr>
        <w:t xml:space="preserve">Актуальность исследования обусловлена значимостью описания механизмов, регулирующих использование </w:t>
      </w:r>
      <w:proofErr w:type="spellStart"/>
      <w:r w:rsidR="000F152A">
        <w:rPr>
          <w:rFonts w:ascii="Times New Roman" w:hAnsi="Times New Roman" w:cs="Times New Roman"/>
          <w:sz w:val="24"/>
          <w:szCs w:val="24"/>
        </w:rPr>
        <w:t>катойконимов</w:t>
      </w:r>
      <w:proofErr w:type="spellEnd"/>
      <w:r w:rsidR="000F152A">
        <w:rPr>
          <w:rFonts w:ascii="Times New Roman" w:hAnsi="Times New Roman" w:cs="Times New Roman"/>
          <w:sz w:val="24"/>
          <w:szCs w:val="24"/>
        </w:rPr>
        <w:t xml:space="preserve"> в материалах печатных СМИ.</w:t>
      </w:r>
      <w:r w:rsidR="000F1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Единицы языка могут меняться</w:t>
      </w:r>
      <w:r w:rsidR="0092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влиянием внеязыковой 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значит, сравнение данных нескольких срезов, связанных с важными историческими событиями, может быть эффективным методом описания характеристик изучаемого объекта. </w:t>
      </w:r>
    </w:p>
    <w:p w:rsidR="00E279BD" w:rsidRDefault="006416A2" w:rsidP="00E279BD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Гипотеза:</w:t>
      </w:r>
      <w:r>
        <w:rPr>
          <w:rFonts w:ascii="Times New Roman" w:hAnsi="Times New Roman" w:cs="Times New Roman"/>
          <w:sz w:val="24"/>
          <w:szCs w:val="24"/>
        </w:rPr>
        <w:t xml:space="preserve">  районная газета «Слава труду» должна отражать местные названия жителей, закономерности их формирования и особенности употребления в разновременные периоды своего существования.</w:t>
      </w:r>
    </w:p>
    <w:p w:rsidR="00E279BD" w:rsidRDefault="000F152A" w:rsidP="00E279BD">
      <w:p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исследования – </w:t>
      </w:r>
      <w:proofErr w:type="spellStart"/>
      <w:r w:rsidR="00E279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катойкономы</w:t>
      </w:r>
      <w:proofErr w:type="spellEnd"/>
      <w:r w:rsidR="00E279BD">
        <w:rPr>
          <w:rFonts w:ascii="Times New Roman" w:hAnsi="Times New Roman" w:cs="Times New Roman"/>
          <w:sz w:val="24"/>
          <w:szCs w:val="24"/>
        </w:rPr>
        <w:t>, функционирующие в публикациях газеты «Слава труду» Бахчисарайского района.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рассмотрения: </w:t>
      </w:r>
      <w:r w:rsidR="00E279B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названий жителей населенных пунктов Бахчисарая в текстах разновременных местных газет.</w:t>
      </w:r>
      <w:r w:rsidR="00E279BD">
        <w:rPr>
          <w:sz w:val="24"/>
          <w:szCs w:val="24"/>
        </w:rPr>
        <w:t xml:space="preserve"> </w:t>
      </w:r>
    </w:p>
    <w:p w:rsidR="006416A2" w:rsidRPr="0018779D" w:rsidRDefault="00E279BD" w:rsidP="006416A2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найти и описать зафиксированные в текстах муниципальной газеты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>,  определить их функцию и выявить в динамике особенности употребления названий в определенные временные срезы; исследовать варианты наименования жителей Бахчисарайского района.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Задачи исследования: 1) изучение </w:t>
      </w:r>
      <w:r>
        <w:rPr>
          <w:rFonts w:ascii="Times New Roman" w:hAnsi="Times New Roman"/>
          <w:sz w:val="24"/>
          <w:szCs w:val="24"/>
        </w:rPr>
        <w:t xml:space="preserve">теоретической основы  формирования </w:t>
      </w:r>
      <w:proofErr w:type="spellStart"/>
      <w:r>
        <w:rPr>
          <w:rFonts w:ascii="Times New Roman" w:hAnsi="Times New Roman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>; 2) сбор и анализ фактического материала; 3) выявление факторов, предопределяющих появление названий жителей в газетном тексте; 4)</w:t>
      </w:r>
      <w:r>
        <w:rPr>
          <w:rFonts w:ascii="Times New Roman" w:hAnsi="Times New Roman"/>
          <w:sz w:val="24"/>
          <w:szCs w:val="24"/>
        </w:rPr>
        <w:t xml:space="preserve"> проведение опроса одноклассников</w:t>
      </w:r>
      <w:r w:rsidR="0018779D">
        <w:rPr>
          <w:rFonts w:ascii="Times New Roman" w:hAnsi="Times New Roman"/>
          <w:sz w:val="24"/>
          <w:szCs w:val="24"/>
        </w:rPr>
        <w:t xml:space="preserve">; 5) создание словаря-справочника </w:t>
      </w:r>
      <w:proofErr w:type="spellStart"/>
      <w:r w:rsidR="0018779D">
        <w:rPr>
          <w:rFonts w:ascii="Times New Roman" w:hAnsi="Times New Roman"/>
          <w:sz w:val="24"/>
          <w:szCs w:val="24"/>
        </w:rPr>
        <w:t>катойконимов</w:t>
      </w:r>
      <w:proofErr w:type="spellEnd"/>
      <w:r w:rsidR="0018779D">
        <w:rPr>
          <w:rFonts w:ascii="Times New Roman" w:hAnsi="Times New Roman"/>
          <w:sz w:val="24"/>
          <w:szCs w:val="24"/>
        </w:rPr>
        <w:t xml:space="preserve"> Бахчисарайского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16A2">
        <w:rPr>
          <w:rFonts w:ascii="Times New Roman" w:hAnsi="Times New Roman" w:cs="Times New Roman"/>
          <w:sz w:val="24"/>
          <w:szCs w:val="24"/>
        </w:rPr>
        <w:t xml:space="preserve"> </w:t>
      </w:r>
      <w:r w:rsidR="006416A2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применялись контекстуальный и текстовый анализ, а также элементы статистического анализа. </w:t>
      </w:r>
    </w:p>
    <w:p w:rsidR="006416A2" w:rsidRPr="0018779D" w:rsidRDefault="006416A2" w:rsidP="00E2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Жителей определенного населенного пункта в грамматической системе русского языка можно назвать по-разному. </w:t>
      </w:r>
      <w:r w:rsidR="00187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Катойконимы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значительно экономят языковые средства и, безусловно, востребованы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говорящими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однако целый ряд проблем с употреблением подобных наименований в речи, способствует более частому употреблению описательных номинаций. </w:t>
      </w:r>
      <w:r w:rsidR="00187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Исследователи считают, что основной формой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форма множественного числа, она выражает идею группы, множества без обозначения пола членов сообщества.</w:t>
      </w:r>
      <w:r w:rsidR="001877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структуры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общероссийских справочниках показал, что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образовать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катойконим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можно более чем </w:t>
      </w: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16 способами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6416A2" w:rsidRPr="006416A2" w:rsidRDefault="006416A2" w:rsidP="00641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</w:t>
      </w:r>
      <w:r w:rsidR="0018779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Словообразовательная модель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продуктивности употребления </w:t>
      </w:r>
    </w:p>
    <w:tbl>
      <w:tblPr>
        <w:tblStyle w:val="a4"/>
        <w:tblW w:w="0" w:type="auto"/>
        <w:tblInd w:w="1416" w:type="dxa"/>
        <w:tblLook w:val="04A0" w:firstRow="1" w:lastRow="0" w:firstColumn="1" w:lastColumn="0" w:noHBand="0" w:noVBand="1"/>
      </w:tblPr>
      <w:tblGrid>
        <w:gridCol w:w="795"/>
        <w:gridCol w:w="2625"/>
        <w:gridCol w:w="1790"/>
        <w:gridCol w:w="1628"/>
      </w:tblGrid>
      <w:tr w:rsidR="006416A2" w:rsidTr="006416A2">
        <w:tc>
          <w:tcPr>
            <w:tcW w:w="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Катойконим</w:t>
            </w:r>
            <w:proofErr w:type="spell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 xml:space="preserve"> (кто?)</w:t>
            </w:r>
          </w:p>
        </w:tc>
      </w:tr>
      <w:tr w:rsidR="006416A2" w:rsidTr="006416A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Множественное число</w:t>
            </w:r>
          </w:p>
        </w:tc>
        <w:tc>
          <w:tcPr>
            <w:tcW w:w="3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Единственное число</w:t>
            </w:r>
          </w:p>
        </w:tc>
      </w:tr>
      <w:tr w:rsidR="006416A2" w:rsidTr="006416A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Мужской род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Женский род</w:t>
            </w:r>
          </w:p>
        </w:tc>
      </w:tr>
      <w:tr w:rsidR="006416A2" w:rsidTr="006416A2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-ЕЦ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6416A2" w:rsidTr="006416A2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-ИН</w:t>
            </w:r>
            <w:proofErr w:type="gram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-ИНЕЦ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-ИН</w:t>
            </w:r>
            <w:proofErr w:type="gram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6416A2" w:rsidTr="006416A2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-ЕН</w:t>
            </w:r>
            <w:proofErr w:type="gram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-ЕНЕЦ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-ЕН</w:t>
            </w:r>
            <w:proofErr w:type="gram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6416A2" w:rsidTr="006416A2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gram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-ОВЕЦ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gram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6416A2" w:rsidTr="006416A2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-ЕВ</w:t>
            </w:r>
            <w:proofErr w:type="gram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-ЕВЕЦ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A2" w:rsidRPr="0092643F" w:rsidRDefault="006416A2" w:rsidP="000F1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-ЕВ</w:t>
            </w:r>
            <w:proofErr w:type="gramStart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2643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bookmarkEnd w:id="0"/>
    </w:tbl>
    <w:p w:rsidR="009C798D" w:rsidRDefault="009C798D" w:rsidP="0018779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16A2" w:rsidRPr="0018779D" w:rsidRDefault="006416A2" w:rsidP="00187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Функциональные возможности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муниципальных СМИ </w:t>
      </w:r>
    </w:p>
    <w:p w:rsidR="006416A2" w:rsidRPr="000F152A" w:rsidRDefault="006416A2" w:rsidP="006416A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Нами была предпринята попытка проведения статистического обследования газет советского (1965 г.) и современного (2014, 2021-2023 гг.) периодов.  Для анализа была выбрана муниципальная газета «Слава труду» Бахчисарайского района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38F">
        <w:rPr>
          <w:rFonts w:ascii="Times New Roman" w:hAnsi="Times New Roman" w:cs="Times New Roman"/>
          <w:color w:val="000000" w:themeColor="text1"/>
          <w:sz w:val="24"/>
          <w:szCs w:val="24"/>
        </w:rPr>
        <w:t>Это с</w:t>
      </w:r>
      <w:r w:rsidR="00E3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тарейшая газета Бахчисарая, родившаяся как рупор индустриализации в 1921 г., </w:t>
      </w:r>
      <w:r w:rsidR="00E3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она </w:t>
      </w:r>
      <w:r w:rsidR="00E3238F">
        <w:rPr>
          <w:rFonts w:ascii="Times New Roman" w:hAnsi="Times New Roman" w:cs="Times New Roman"/>
          <w:color w:val="000000" w:themeColor="text1"/>
          <w:sz w:val="24"/>
          <w:szCs w:val="24"/>
        </w:rPr>
        <w:t>отражает различные периоды в истории</w:t>
      </w:r>
      <w:r w:rsidR="00E3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E323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данные были проанализированы с учетом исторической ситуации и риторических стратегий эпохи. </w:t>
      </w:r>
      <w:r w:rsidR="000F1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ходе исследования установлено, что ф</w:t>
      </w:r>
      <w:r>
        <w:rPr>
          <w:rFonts w:ascii="Times New Roman" w:hAnsi="Times New Roman" w:cs="Times New Roman"/>
          <w:sz w:val="24"/>
          <w:szCs w:val="24"/>
        </w:rPr>
        <w:t xml:space="preserve">ункционирование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исследуемых газетных текстах  в основном соответствует общим для русского языка тенденциям, н-р</w:t>
      </w:r>
      <w:r w:rsidR="009C79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использованию продуктивных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</w:t>
      </w:r>
      <w:r w:rsidR="009C798D">
        <w:rPr>
          <w:rFonts w:ascii="Times New Roman" w:hAnsi="Times New Roman" w:cs="Times New Roman"/>
          <w:sz w:val="24"/>
          <w:szCs w:val="24"/>
        </w:rPr>
        <w:t>йконимических</w:t>
      </w:r>
      <w:proofErr w:type="spellEnd"/>
      <w:r w:rsidR="009C798D">
        <w:rPr>
          <w:rFonts w:ascii="Times New Roman" w:hAnsi="Times New Roman" w:cs="Times New Roman"/>
          <w:sz w:val="24"/>
          <w:szCs w:val="24"/>
        </w:rPr>
        <w:t xml:space="preserve"> суффиксов </w:t>
      </w:r>
      <w:proofErr w:type="gramStart"/>
      <w:r w:rsidR="009C798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C798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9C798D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9C798D">
        <w:rPr>
          <w:rFonts w:ascii="Times New Roman" w:hAnsi="Times New Roman" w:cs="Times New Roman"/>
          <w:sz w:val="24"/>
          <w:szCs w:val="24"/>
        </w:rPr>
        <w:t>- и  -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>-.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4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Адресная функция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катойконима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отражает характерную для давних периодов развития русского языка замену топонима производным от него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катойконимом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обозначения места действия или указания на это место: </w:t>
      </w:r>
      <w:r w:rsidRPr="0018779D">
        <w:rPr>
          <w:rFonts w:ascii="Times New Roman" w:hAnsi="Times New Roman" w:cs="Times New Roman"/>
          <w:i/>
          <w:sz w:val="24"/>
          <w:szCs w:val="24"/>
        </w:rPr>
        <w:t>«</w:t>
      </w:r>
      <w:r w:rsidRPr="0018779D">
        <w:rPr>
          <w:rFonts w:ascii="Times New Roman" w:eastAsia="Calibri" w:hAnsi="Times New Roman" w:cs="Times New Roman"/>
          <w:i/>
          <w:sz w:val="24"/>
          <w:szCs w:val="24"/>
        </w:rPr>
        <w:t xml:space="preserve">В экспозиции есть оригиналы документов, фотографии </w:t>
      </w:r>
      <w:r w:rsidRPr="0018779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жителей </w:t>
      </w:r>
      <w:proofErr w:type="spellStart"/>
      <w:r w:rsidRPr="0018779D">
        <w:rPr>
          <w:rFonts w:ascii="Times New Roman" w:eastAsia="Calibri" w:hAnsi="Times New Roman" w:cs="Times New Roman"/>
          <w:b/>
          <w:i/>
          <w:sz w:val="24"/>
          <w:szCs w:val="24"/>
        </w:rPr>
        <w:t>Холмовки</w:t>
      </w:r>
      <w:proofErr w:type="spellEnd"/>
      <w:r w:rsidRPr="0018779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18779D">
        <w:rPr>
          <w:rFonts w:ascii="Times New Roman" w:eastAsia="Calibri" w:hAnsi="Times New Roman" w:cs="Times New Roman"/>
          <w:i/>
          <w:sz w:val="24"/>
          <w:szCs w:val="24"/>
        </w:rPr>
        <w:t>и соседних сел, бойцов, которые принимали участие в боях за Севастополь</w:t>
      </w:r>
      <w:r w:rsidRPr="0018779D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18779D">
        <w:rPr>
          <w:rFonts w:ascii="Times New Roman" w:eastAsia="Calibri" w:hAnsi="Times New Roman" w:cs="Times New Roman"/>
          <w:i/>
          <w:sz w:val="24"/>
          <w:szCs w:val="24"/>
        </w:rPr>
        <w:t xml:space="preserve"> («Слава труду», № 12 </w:t>
      </w:r>
      <w:r w:rsidRPr="0018779D">
        <w:rPr>
          <w:rFonts w:ascii="Times New Roman" w:eastAsia="Calibri" w:hAnsi="Times New Roman" w:cs="Times New Roman"/>
          <w:i/>
          <w:sz w:val="24"/>
          <w:szCs w:val="24"/>
        </w:rPr>
        <w:t>от 2 апреля 2021 г.</w:t>
      </w:r>
      <w:r w:rsidRPr="0018779D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18779D" w:rsidRPr="0092643F" w:rsidRDefault="0018779D" w:rsidP="0018779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Контекстуальный анализ позволил обнаружить различия в использовании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Следует отметить, что </w:t>
      </w:r>
      <w:r>
        <w:rPr>
          <w:rFonts w:ascii="Times New Roman" w:hAnsi="Times New Roman" w:cs="Times New Roman"/>
          <w:b/>
          <w:sz w:val="24"/>
          <w:szCs w:val="24"/>
        </w:rPr>
        <w:t>в советское время</w:t>
      </w:r>
      <w:r>
        <w:rPr>
          <w:rFonts w:ascii="Times New Roman" w:hAnsi="Times New Roman" w:cs="Times New Roman"/>
          <w:sz w:val="24"/>
          <w:szCs w:val="24"/>
        </w:rPr>
        <w:t xml:space="preserve"> в газетных текстах в большой акцент при использовании названий жителей делался на массовость, общность, сопричастность.  Нами отмечено малое число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относящихся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месту издания газеты, связано это, вероятно, с малой актуальностью территориальной идентификации.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советский период в языке газет наиболее часто для именования жителей использовалась описательная модель, содержащая указание, с одной стороны, на территориальную, а с другой – на классовую/ п</w:t>
      </w:r>
      <w:r w:rsidR="009C798D">
        <w:rPr>
          <w:rFonts w:ascii="Times New Roman" w:hAnsi="Times New Roman" w:cs="Times New Roman"/>
          <w:sz w:val="24"/>
          <w:szCs w:val="24"/>
        </w:rPr>
        <w:t xml:space="preserve">рофессиональную принадлежность: </w:t>
      </w:r>
      <w:r w:rsidR="009C798D" w:rsidRPr="0092643F">
        <w:rPr>
          <w:rFonts w:ascii="Times New Roman" w:hAnsi="Times New Roman" w:cs="Times New Roman"/>
          <w:i/>
          <w:sz w:val="24"/>
          <w:szCs w:val="24"/>
        </w:rPr>
        <w:t>«</w:t>
      </w:r>
      <w:r w:rsidRPr="0092643F">
        <w:rPr>
          <w:rFonts w:ascii="Times New Roman" w:eastAsia="Calibri" w:hAnsi="Times New Roman" w:cs="Times New Roman"/>
          <w:i/>
          <w:sz w:val="24"/>
          <w:szCs w:val="24"/>
        </w:rPr>
        <w:t xml:space="preserve">Особенно нас трогает теплая забота о людях, </w:t>
      </w:r>
      <w:r w:rsidRPr="0092643F">
        <w:rPr>
          <w:rFonts w:ascii="Times New Roman" w:eastAsia="Calibri" w:hAnsi="Times New Roman" w:cs="Times New Roman"/>
          <w:b/>
          <w:i/>
          <w:sz w:val="24"/>
          <w:szCs w:val="24"/>
        </w:rPr>
        <w:t>работниках колхоза имени Чап</w:t>
      </w:r>
      <w:r w:rsidRPr="0092643F">
        <w:rPr>
          <w:rFonts w:ascii="Times New Roman" w:eastAsia="Calibri" w:hAnsi="Times New Roman" w:cs="Times New Roman"/>
          <w:b/>
          <w:i/>
          <w:sz w:val="24"/>
          <w:szCs w:val="24"/>
        </w:rPr>
        <w:t>аева</w:t>
      </w:r>
      <w:r w:rsidR="009C798D" w:rsidRPr="009264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»; </w:t>
      </w:r>
      <w:r w:rsidR="009C798D" w:rsidRPr="0092643F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Pr="0092643F">
        <w:rPr>
          <w:rFonts w:ascii="Times New Roman" w:eastAsia="Calibri" w:hAnsi="Times New Roman" w:cs="Times New Roman"/>
          <w:i/>
          <w:sz w:val="24"/>
          <w:szCs w:val="24"/>
        </w:rPr>
        <w:t xml:space="preserve">Для </w:t>
      </w:r>
      <w:r w:rsidRPr="009264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детей </w:t>
      </w:r>
      <w:proofErr w:type="spellStart"/>
      <w:r w:rsidRPr="0092643F">
        <w:rPr>
          <w:rFonts w:ascii="Times New Roman" w:eastAsia="Calibri" w:hAnsi="Times New Roman" w:cs="Times New Roman"/>
          <w:b/>
          <w:i/>
          <w:sz w:val="24"/>
          <w:szCs w:val="24"/>
        </w:rPr>
        <w:t>колхозцев</w:t>
      </w:r>
      <w:proofErr w:type="spellEnd"/>
      <w:r w:rsidRPr="009264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с. </w:t>
      </w:r>
      <w:proofErr w:type="gramStart"/>
      <w:r w:rsidRPr="0092643F">
        <w:rPr>
          <w:rFonts w:ascii="Times New Roman" w:eastAsia="Calibri" w:hAnsi="Times New Roman" w:cs="Times New Roman"/>
          <w:b/>
          <w:i/>
          <w:sz w:val="24"/>
          <w:szCs w:val="24"/>
        </w:rPr>
        <w:t>Угловое</w:t>
      </w:r>
      <w:proofErr w:type="gramEnd"/>
      <w:r w:rsidRPr="0092643F">
        <w:rPr>
          <w:rFonts w:ascii="Times New Roman" w:eastAsia="Calibri" w:hAnsi="Times New Roman" w:cs="Times New Roman"/>
          <w:i/>
          <w:sz w:val="24"/>
          <w:szCs w:val="24"/>
        </w:rPr>
        <w:t xml:space="preserve"> построен хороший детский комбинат на 200 мест, </w:t>
      </w:r>
      <w:r w:rsidR="009C798D" w:rsidRPr="0092643F">
        <w:rPr>
          <w:rFonts w:ascii="Times New Roman" w:eastAsia="Calibri" w:hAnsi="Times New Roman" w:cs="Times New Roman"/>
          <w:i/>
          <w:sz w:val="24"/>
          <w:szCs w:val="24"/>
        </w:rPr>
        <w:t>двухэтажная восьмилетняя школ</w:t>
      </w:r>
      <w:r w:rsidR="000F152A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9C798D" w:rsidRPr="0092643F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92643F">
        <w:rPr>
          <w:rFonts w:ascii="Times New Roman" w:eastAsia="Calibri" w:hAnsi="Times New Roman" w:cs="Times New Roman"/>
          <w:i/>
          <w:sz w:val="24"/>
          <w:szCs w:val="24"/>
        </w:rPr>
        <w:t xml:space="preserve"> («Слава труду», №132</w:t>
      </w:r>
      <w:r w:rsidR="0092643F" w:rsidRPr="0092643F">
        <w:rPr>
          <w:rFonts w:ascii="Times New Roman" w:eastAsia="Calibri" w:hAnsi="Times New Roman" w:cs="Times New Roman"/>
          <w:i/>
          <w:sz w:val="24"/>
          <w:szCs w:val="24"/>
        </w:rPr>
        <w:t xml:space="preserve"> от 7 ноября 1965 года</w:t>
      </w:r>
      <w:r w:rsidRPr="0092643F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18779D" w:rsidRDefault="0092643F" w:rsidP="001877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79D">
        <w:rPr>
          <w:rFonts w:ascii="Times New Roman" w:hAnsi="Times New Roman" w:cs="Times New Roman"/>
          <w:sz w:val="24"/>
          <w:szCs w:val="24"/>
        </w:rPr>
        <w:t xml:space="preserve">Уже в более поздний период на страницах  газет массовыми становятся тексты, в которых делается акцент на локальную идентичность, чаще используются </w:t>
      </w:r>
      <w:proofErr w:type="spellStart"/>
      <w:r w:rsidR="0018779D">
        <w:rPr>
          <w:rFonts w:ascii="Times New Roman" w:hAnsi="Times New Roman" w:cs="Times New Roman"/>
          <w:sz w:val="24"/>
          <w:szCs w:val="24"/>
        </w:rPr>
        <w:t>катойконимы</w:t>
      </w:r>
      <w:proofErr w:type="spellEnd"/>
      <w:r w:rsidR="0018779D">
        <w:rPr>
          <w:rFonts w:ascii="Times New Roman" w:hAnsi="Times New Roman" w:cs="Times New Roman"/>
          <w:sz w:val="24"/>
          <w:szCs w:val="24"/>
        </w:rPr>
        <w:t xml:space="preserve">. Современные периодические издания </w:t>
      </w:r>
      <w:r>
        <w:rPr>
          <w:rFonts w:ascii="Times New Roman" w:hAnsi="Times New Roman" w:cs="Times New Roman"/>
          <w:sz w:val="24"/>
          <w:szCs w:val="24"/>
        </w:rPr>
        <w:t xml:space="preserve">используют </w:t>
      </w:r>
      <w:proofErr w:type="spellStart"/>
      <w:r w:rsidR="0018779D">
        <w:rPr>
          <w:rFonts w:ascii="Times New Roman" w:hAnsi="Times New Roman" w:cs="Times New Roman"/>
          <w:sz w:val="24"/>
          <w:szCs w:val="24"/>
        </w:rPr>
        <w:t>катойконимы</w:t>
      </w:r>
      <w:proofErr w:type="spellEnd"/>
      <w:r w:rsidR="0018779D">
        <w:rPr>
          <w:rFonts w:ascii="Times New Roman" w:hAnsi="Times New Roman" w:cs="Times New Roman"/>
          <w:sz w:val="24"/>
          <w:szCs w:val="24"/>
        </w:rPr>
        <w:t xml:space="preserve"> как многофункциональное средство. Оно может одновременно </w:t>
      </w:r>
      <w:r w:rsidR="0018779D">
        <w:rPr>
          <w:rFonts w:ascii="Times New Roman" w:hAnsi="Times New Roman" w:cs="Times New Roman"/>
          <w:b/>
          <w:sz w:val="24"/>
          <w:szCs w:val="24"/>
        </w:rPr>
        <w:t>давать представление об относительно значимом количестве героев</w:t>
      </w:r>
      <w:r w:rsidR="0018779D">
        <w:rPr>
          <w:rFonts w:ascii="Times New Roman" w:hAnsi="Times New Roman" w:cs="Times New Roman"/>
          <w:sz w:val="24"/>
          <w:szCs w:val="24"/>
        </w:rPr>
        <w:t xml:space="preserve"> (условные </w:t>
      </w:r>
      <w:proofErr w:type="spellStart"/>
      <w:r w:rsidR="0018779D">
        <w:rPr>
          <w:rFonts w:ascii="Times New Roman" w:hAnsi="Times New Roman" w:cs="Times New Roman"/>
          <w:i/>
          <w:sz w:val="24"/>
          <w:szCs w:val="24"/>
        </w:rPr>
        <w:t>бахчисарайцы</w:t>
      </w:r>
      <w:proofErr w:type="spellEnd"/>
      <w:r w:rsidR="0018779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8779D">
        <w:rPr>
          <w:rFonts w:ascii="Times New Roman" w:hAnsi="Times New Roman" w:cs="Times New Roman"/>
          <w:i/>
          <w:sz w:val="24"/>
          <w:szCs w:val="24"/>
        </w:rPr>
        <w:t>крымчане</w:t>
      </w:r>
      <w:proofErr w:type="spellEnd"/>
      <w:r w:rsidR="001877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18779D">
        <w:rPr>
          <w:rFonts w:ascii="Times New Roman" w:hAnsi="Times New Roman" w:cs="Times New Roman"/>
          <w:i/>
          <w:sz w:val="24"/>
          <w:szCs w:val="24"/>
        </w:rPr>
        <w:t>вилинцы</w:t>
      </w:r>
      <w:proofErr w:type="spellEnd"/>
      <w:r w:rsidR="0018779D">
        <w:rPr>
          <w:rFonts w:ascii="Times New Roman" w:hAnsi="Times New Roman" w:cs="Times New Roman"/>
          <w:sz w:val="24"/>
          <w:szCs w:val="24"/>
        </w:rPr>
        <w:t xml:space="preserve">, формировать в сознании читателя газеты ощущение массовости происходящего, так как существительные во множественном числе изначально означают «более одного»). </w:t>
      </w:r>
    </w:p>
    <w:p w:rsidR="0018779D" w:rsidRDefault="0018779D" w:rsidP="001877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Анализ функций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позволяет прийти к заключению, что названия жителей в газетных текстах разного времени могут быть использованы  как многофункциональное средство передачи оттенков значений и построения публикации. Во-первых,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сочетает в своей семантике различные компоненты (указывает на территорию, множественность и др.), реализует закон экономии речи. Во-вторых, реализация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текстообразующей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функции имеет специфику применительно к разным рассмотренным срезам. В-третьих, наделение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функцией обращения, дает возможность автору нацелить текст на большую читательскую аудиторию, охватывающую весь район распространения газеты. В-четвертых,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одним из значимых средств самоидентификации для современного носителя языка, а употребление определенного варианта названия жителей либо помещение этого слова в специальный контекст позволяет выражать эмоции и оценки.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798D" w:rsidRDefault="0018779D" w:rsidP="001877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материалах «Слава труду» советского периода исследуемые номинации нередко идеологически окрашены, а уже в статьях нашего времени они часто представлены как средства указания на территориальную общность людей. Региональные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широко представлены в статьях за 2021-2023 гг., а в газетных текстах 1965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относящиеся к месту издания газеты, занимали маргинальное положение и выполняли идеологическую функцию, использовались для обозначения жителей как работников хозяйственных объединений Бахчисарайского района. В современных СМИ актуализированы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мемориально-краеведческая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функции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катойконимов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779D" w:rsidRPr="0092643F" w:rsidRDefault="009C798D" w:rsidP="001877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Результаты опроса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учащихся школы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подтвердили наше предположение, что многие не знают, как правильно можно называть жителей того или иного населённого пункта. </w:t>
      </w:r>
      <w:r w:rsidR="0092643F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читаем, что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данная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исследова</w:t>
      </w:r>
      <w:r w:rsidR="000F152A">
        <w:rPr>
          <w:rFonts w:ascii="Times New Roman" w:eastAsia="Calibri" w:hAnsi="Times New Roman" w:cs="Times New Roman"/>
          <w:sz w:val="24"/>
          <w:szCs w:val="24"/>
        </w:rPr>
        <w:t>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поможет  найти ответы на поставленные вопросы. </w:t>
      </w:r>
      <w:r w:rsidR="00926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Полученный материал можно использовать на уроках географии, истории, русского яз</w:t>
      </w:r>
      <w:r w:rsidR="0092643F">
        <w:rPr>
          <w:rFonts w:ascii="Times New Roman" w:hAnsi="Times New Roman" w:cs="Times New Roman"/>
          <w:sz w:val="24"/>
          <w:szCs w:val="24"/>
        </w:rPr>
        <w:t>ыка, на занятиях по краеведению, а значит – позволи</w:t>
      </w:r>
      <w:r w:rsidR="0018779D">
        <w:rPr>
          <w:rFonts w:ascii="Times New Roman" w:hAnsi="Times New Roman" w:cs="Times New Roman"/>
          <w:sz w:val="24"/>
          <w:szCs w:val="24"/>
        </w:rPr>
        <w:t xml:space="preserve">т избежать ошибок  при общении с жителями разных населённых пунктов. Итогом работы  стал словарь </w:t>
      </w:r>
      <w:proofErr w:type="spellStart"/>
      <w:r w:rsidR="0018779D">
        <w:rPr>
          <w:rFonts w:ascii="Times New Roman" w:hAnsi="Times New Roman" w:cs="Times New Roman"/>
          <w:sz w:val="24"/>
          <w:szCs w:val="24"/>
        </w:rPr>
        <w:t>катой</w:t>
      </w:r>
      <w:r>
        <w:rPr>
          <w:rFonts w:ascii="Times New Roman" w:hAnsi="Times New Roman" w:cs="Times New Roman"/>
          <w:sz w:val="24"/>
          <w:szCs w:val="24"/>
        </w:rPr>
        <w:t>конимов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Бахчисарайского района.</w:t>
      </w:r>
    </w:p>
    <w:p w:rsidR="009C798D" w:rsidRDefault="009C798D" w:rsidP="009C798D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Словарь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като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йконимов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Бахчисарайского района</w:t>
      </w:r>
    </w:p>
    <w:tbl>
      <w:tblPr>
        <w:tblStyle w:val="a4"/>
        <w:tblW w:w="9747" w:type="dxa"/>
        <w:tblInd w:w="0" w:type="dxa"/>
        <w:tblLook w:val="04A0" w:firstRow="1" w:lastRow="0" w:firstColumn="1" w:lastColumn="0" w:noHBand="0" w:noVBand="1"/>
      </w:tblPr>
      <w:tblGrid>
        <w:gridCol w:w="3428"/>
        <w:gridCol w:w="6319"/>
      </w:tblGrid>
      <w:tr w:rsidR="009C798D" w:rsidTr="009C798D">
        <w:trPr>
          <w:trHeight w:val="402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Катойконим</w:t>
            </w:r>
            <w:proofErr w:type="spellEnd"/>
          </w:p>
        </w:tc>
      </w:tr>
      <w:tr w:rsidR="009C798D" w:rsidTr="009C798D">
        <w:trPr>
          <w:trHeight w:val="39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Айвовое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Айвовцы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айвовец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жительница села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Айвовое</w:t>
            </w:r>
            <w:proofErr w:type="gramEnd"/>
          </w:p>
        </w:tc>
      </w:tr>
      <w:tr w:rsidR="009C798D" w:rsidTr="009C798D">
        <w:trPr>
          <w:trHeight w:val="39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Аромат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 Аромат</w:t>
            </w:r>
          </w:p>
        </w:tc>
      </w:tr>
      <w:tr w:rsidR="009C798D" w:rsidTr="009C798D">
        <w:trPr>
          <w:trHeight w:val="39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Ароматное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Ароматненцы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ароматненец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жительница села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Ароматное</w:t>
            </w:r>
            <w:proofErr w:type="gramEnd"/>
          </w:p>
        </w:tc>
      </w:tr>
      <w:tr w:rsidR="009C798D" w:rsidTr="009C798D">
        <w:trPr>
          <w:trHeight w:val="39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Баштановка</w:t>
            </w:r>
            <w:proofErr w:type="spellEnd"/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жительница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Баштановка</w:t>
            </w:r>
            <w:proofErr w:type="spellEnd"/>
          </w:p>
        </w:tc>
      </w:tr>
      <w:tr w:rsidR="009C798D" w:rsidTr="009C798D">
        <w:trPr>
          <w:trHeight w:val="39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Белокаменка</w:t>
            </w:r>
            <w:proofErr w:type="spellEnd"/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Белокаменцы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белокаменец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жительница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Белокаменка</w:t>
            </w:r>
            <w:proofErr w:type="spellEnd"/>
          </w:p>
        </w:tc>
      </w:tr>
      <w:tr w:rsidR="009C798D" w:rsidTr="009C798D">
        <w:trPr>
          <w:trHeight w:val="39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Береговое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жительница </w:t>
            </w:r>
            <w:r w:rsidR="0092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Береговое</w:t>
            </w:r>
            <w:proofErr w:type="gramEnd"/>
          </w:p>
        </w:tc>
      </w:tr>
      <w:tr w:rsidR="009C798D" w:rsidTr="009C798D">
        <w:trPr>
          <w:trHeight w:val="39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8D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Богатое Ущелье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2A" w:rsidRDefault="009C7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Богатоущельцы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богатоущелец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жительница села Богатое Ущелье</w:t>
            </w:r>
          </w:p>
        </w:tc>
      </w:tr>
    </w:tbl>
    <w:p w:rsidR="00CB578E" w:rsidRPr="00C5779D" w:rsidRDefault="00CB578E" w:rsidP="00E2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578E" w:rsidRPr="00C5779D" w:rsidSect="0018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F, 'Times New Roman';Times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9D"/>
    <w:rsid w:val="000F152A"/>
    <w:rsid w:val="00124EF8"/>
    <w:rsid w:val="0018779D"/>
    <w:rsid w:val="006416A2"/>
    <w:rsid w:val="0092643F"/>
    <w:rsid w:val="009C798D"/>
    <w:rsid w:val="00C5779D"/>
    <w:rsid w:val="00CB578E"/>
    <w:rsid w:val="00E279BD"/>
    <w:rsid w:val="00E3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279BD"/>
    <w:pPr>
      <w:widowControl w:val="0"/>
      <w:suppressAutoHyphens/>
      <w:overflowPunct w:val="0"/>
      <w:spacing w:after="0" w:line="240" w:lineRule="auto"/>
    </w:pPr>
    <w:rPr>
      <w:rFonts w:ascii="Calibri" w:eastAsia="SimSun, 宋体" w:hAnsi="Calibri" w:cs="F, 'Times New Roman';Times New"/>
      <w:kern w:val="2"/>
      <w:lang w:eastAsia="zh-CN"/>
    </w:rPr>
  </w:style>
  <w:style w:type="paragraph" w:customStyle="1" w:styleId="Standard">
    <w:name w:val="Standard"/>
    <w:qFormat/>
    <w:rsid w:val="00E279BD"/>
    <w:pPr>
      <w:widowControl w:val="0"/>
      <w:suppressAutoHyphens/>
      <w:overflowPunct w:val="0"/>
      <w:spacing w:after="160" w:line="240" w:lineRule="auto"/>
    </w:pPr>
    <w:rPr>
      <w:rFonts w:ascii="Calibri" w:eastAsia="SimSun, 宋体" w:hAnsi="Calibri" w:cs="F, 'Times New Roman';Times New"/>
      <w:kern w:val="2"/>
      <w:lang w:eastAsia="zh-CN"/>
    </w:rPr>
  </w:style>
  <w:style w:type="table" w:styleId="a4">
    <w:name w:val="Table Grid"/>
    <w:basedOn w:val="a1"/>
    <w:uiPriority w:val="59"/>
    <w:rsid w:val="006416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279BD"/>
    <w:pPr>
      <w:widowControl w:val="0"/>
      <w:suppressAutoHyphens/>
      <w:overflowPunct w:val="0"/>
      <w:spacing w:after="0" w:line="240" w:lineRule="auto"/>
    </w:pPr>
    <w:rPr>
      <w:rFonts w:ascii="Calibri" w:eastAsia="SimSun, 宋体" w:hAnsi="Calibri" w:cs="F, 'Times New Roman';Times New"/>
      <w:kern w:val="2"/>
      <w:lang w:eastAsia="zh-CN"/>
    </w:rPr>
  </w:style>
  <w:style w:type="paragraph" w:customStyle="1" w:styleId="Standard">
    <w:name w:val="Standard"/>
    <w:qFormat/>
    <w:rsid w:val="00E279BD"/>
    <w:pPr>
      <w:widowControl w:val="0"/>
      <w:suppressAutoHyphens/>
      <w:overflowPunct w:val="0"/>
      <w:spacing w:after="160" w:line="240" w:lineRule="auto"/>
    </w:pPr>
    <w:rPr>
      <w:rFonts w:ascii="Calibri" w:eastAsia="SimSun, 宋体" w:hAnsi="Calibri" w:cs="F, 'Times New Roman';Times New"/>
      <w:kern w:val="2"/>
      <w:lang w:eastAsia="zh-CN"/>
    </w:rPr>
  </w:style>
  <w:style w:type="table" w:styleId="a4">
    <w:name w:val="Table Grid"/>
    <w:basedOn w:val="a1"/>
    <w:uiPriority w:val="59"/>
    <w:rsid w:val="006416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975</Words>
  <Characters>7176</Characters>
  <Application>Microsoft Office Word</Application>
  <DocSecurity>0</DocSecurity>
  <Lines>152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3</cp:revision>
  <dcterms:created xsi:type="dcterms:W3CDTF">2024-02-18T14:06:00Z</dcterms:created>
  <dcterms:modified xsi:type="dcterms:W3CDTF">2024-02-18T15:34:00Z</dcterms:modified>
</cp:coreProperties>
</file>