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Информация для родителей</w:t>
      </w:r>
      <w:bookmarkStart w:id="0" w:name="_GoBack"/>
      <w:bookmarkEnd w:id="0"/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73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 </w:t>
      </w:r>
      <w:r w:rsidRPr="004362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Часто школьные знания в представлении ребенка имеют мало общего с реальной жизнью. Школьники учатся писать сочинения по шаблону, но готовы ли они составить деловое письмо, написать объяснительную или опубликовать вдумчивый грамотный пост в социальных сетях? Могут ли они принимать мнения других людей, умеют ли мыслить конструктивно и креативно? Степень владения мягкими навыками, необходимыми для успеха как в подростковой, так и во взрослой жизни, определяет понятие «функциональная грамотность».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single" w:sz="2" w:space="0" w:color="E5E7EB" w:frame="1"/>
          <w:lang w:eastAsia="ru-RU"/>
        </w:rPr>
        <w:t>Что нужно знать о функциональной грамотности!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ребенка очень важно быть успешным в учебе. А для этого он должен уметь работать с информацией: находить её, проверять факты, анализировать, обобщать.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   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Что же такое функциональная грамотность?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Это способность решать учебные задачи и жизненные проблемные ситуации на основе сформированных предметных, </w:t>
      </w:r>
      <w:proofErr w:type="spellStart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метапредметных</w:t>
      </w:r>
      <w:proofErr w:type="spellEnd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</w:t>
      </w:r>
      <w:proofErr w:type="spellStart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Минпросвещения</w:t>
      </w:r>
      <w:proofErr w:type="spellEnd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приказа </w:t>
      </w:r>
      <w:proofErr w:type="spellStart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Минпросвещения</w:t>
      </w:r>
      <w:proofErr w:type="spellEnd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образования»).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proofErr w:type="gramStart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Иными словами</w:t>
      </w:r>
      <w:proofErr w:type="gramEnd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Читательская грамотность –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Это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способность ребенка использовать тексты для достижения своих целей, пополнения знаний, приобретения навыков</w:t>
      </w: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. Для формирования читательской грамотности важно уметь находить и извлекать из текста информацию, размышлять над ним, «читать между строк». 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Задания на формирование читательской грамотности и её проверку состоят из текста и вопросов, на которые нельзя дать однозначный ответ. Например, «Что сделали бы вы, если бы оказались на месте героя истории?» и </w:t>
      </w:r>
      <w:proofErr w:type="gramStart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т.п..</w:t>
      </w:r>
      <w:proofErr w:type="gramEnd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lastRenderedPageBreak/>
        <w:t>Математическая грамотность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Под математической грамотностью понимается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способность ребенка использовать математические знания в разных контекстах, на основе математических данных описывать, объяснять, предсказывать явления</w:t>
      </w: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. Формировать математическую грамотность значит учить ребёнка принимать взвешенные решения, формулировать объективное мнение, анализировать окружающую действительность.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Для формирования математической грамотности и её проверки у ребенка можно попробовать выяснить, например, как скоро окупится установка парусов на корабли с двигателем. При этом школьнику будет известно количество топлива, которое корабль потребляет при наличии и при отсутствии паруса, стоимость топлива и стоимость установки паруса. Задача обязательно приводится в контексте: рассказывается о том, что 95% товаров в мире перевозят по морю на кораблях, использующих топливо. И для того, чтобы уменьшить потребление этого топлива и его влияние на окружающую среду, инженеры планируют создать проект корабля, использующего, в том числе силу ветра.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Естественнонаучная грамотность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Под естественнонаучной грамотностью понимают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способность ребёнка формировать мнение о проблемах, связанных с естественными науками</w:t>
      </w: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. Для этого важны навыки интерпретации научных данных, умение спланировать и провести исследование, объяснить явления природы и технологии, найти доказательства.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Для проверки уровня естественнонаучной грамотности используют задания с географическими картами и предложением эти карты проанализировать. Или, например, объяснить, что изображено на серии картинок при помощи научных понятий (</w:t>
      </w:r>
      <w:proofErr w:type="gramStart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например</w:t>
      </w:r>
      <w:proofErr w:type="gramEnd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 «атомы» и «молекулы»).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Глобальные компетенции -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Это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способность ребёнка работать в одиночку или в группе для решения глобальной проблемы</w:t>
      </w: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. Для этого важно уметь управлять своим поведением, эмоционально воспринимать новую информацию и быть открытым к ней.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Глобальные компетенции подразумевают развитие аналитического и критического мышления, </w:t>
      </w:r>
      <w:proofErr w:type="spellStart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эмпатии</w:t>
      </w:r>
      <w:proofErr w:type="spellEnd"/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 и способности сотрудничать. Осознание глобальных проблем и межкультурных различий – ключ к построению уважительных отношений с представителями любой культуры и принятию человеческого достоинства как отдельного явления. Дети учатся осознавать, каким образом культурные, религиозные, расовые и другие различия влияют на взгляды окружающих. Способность понимать и принимать убеждения других людей — один из самых важных мягких навыков в современном мире.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 xml:space="preserve">Проверка глобальных компетенций часто включает задания, в которых нужно найти причинно-следственную связь между какими-либо действиями и их последствиями. Как правило, ученикам предлагается проанализировать предложенную ситуацию, ответив на вопросы, дополняющие исходный сюжет. Они обычно касаются </w:t>
      </w: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lastRenderedPageBreak/>
        <w:t>глобальных вопросов, например, прав человека, образования как ценности, демографических проблем, изменения климата и так далее. Сложность предполагаемого анализа зависит от возраста ребенка: с пятиклассниками можно поговорить о том, почему нельзя выгнать на улицу щенка, а в 9-м классе уже затронуть тему социального неравенства.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Креативное мышление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Под креативным мышлением понимается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способность ребёнка самостоятельно или в команде придумывать и улучшать идеи</w:t>
      </w: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. Например, предлагать инновационные и эффективные решения, использовать воображение. Кроме того, важно уметь критически взглянуть на свои идеи, увидеть их сильные и слабые стороны.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Обычно под креативностью люди понимают некий порыв, результатом которого становится великое открытие или произведение искусства. Он связан не только с обладанием талантом, но и с мастерством и глубоким знанием предметной области. Такие порывы психологи называют «большой креативностью», но творческий потенциал может проявляться и иначе, в обычной жизни. Для ребенка это может быть, например, удачное оформление стены над кроватью, вкусно приготовленный из остатков продуктов завтрак или удачное планирование дня, позволяющее успеть много дел.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Чтобы проверить, насколько школьник креативно мыслит, учитель может задать написать эссе, посвященное той или иной научной и социальной проблеме или нарисовать картину на актуальную тему. Последнее особенно применимо в младших классах. 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Финансовая грамотность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Финансовая грамотность для школьников подразумевает, что ребёнок </w:t>
      </w:r>
      <w:r w:rsidRPr="00436273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понимает финансовые понятия и может принимать решения для улучшения собственного и общественного финансового благополучия</w:t>
      </w: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.</w:t>
      </w:r>
    </w:p>
    <w:p w:rsidR="00436273" w:rsidRPr="00436273" w:rsidRDefault="00436273" w:rsidP="004362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74151"/>
          <w:sz w:val="24"/>
          <w:szCs w:val="24"/>
          <w:lang w:eastAsia="ru-RU"/>
        </w:rPr>
      </w:pPr>
      <w:r w:rsidRPr="00436273">
        <w:rPr>
          <w:rFonts w:ascii="Arial" w:eastAsia="Times New Roman" w:hAnsi="Arial" w:cs="Arial"/>
          <w:color w:val="374151"/>
          <w:sz w:val="24"/>
          <w:szCs w:val="24"/>
          <w:lang w:eastAsia="ru-RU"/>
        </w:rPr>
        <w:t>Задания на проверку финансовой грамотности для школьников обычно моделируют ситуации с денежными операциями, банковскими вкладами, кредитными ставками и другими явлениями мира финансов.</w:t>
      </w:r>
    </w:p>
    <w:p w:rsidR="0082654F" w:rsidRDefault="0082654F"/>
    <w:sectPr w:rsidR="0082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C0"/>
    <w:rsid w:val="00436273"/>
    <w:rsid w:val="004C64C0"/>
    <w:rsid w:val="0082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86AF"/>
  <w15:chartTrackingRefBased/>
  <w15:docId w15:val="{E55BFE76-18FE-4DAC-A45A-D112A4CD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2023-05-30T11:15:00Z</dcterms:created>
  <dcterms:modified xsi:type="dcterms:W3CDTF">2023-05-30T11:17:00Z</dcterms:modified>
</cp:coreProperties>
</file>