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91" w:rsidRPr="005334B6" w:rsidRDefault="00E67691" w:rsidP="00E67691">
      <w:pPr>
        <w:suppressAutoHyphens/>
        <w:autoSpaceDE w:val="0"/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sz w:val="18"/>
          <w:szCs w:val="18"/>
          <w:lang w:val="ru-RU" w:eastAsia="ar-SA"/>
        </w:rPr>
      </w:pPr>
      <w:r w:rsidRPr="005334B6">
        <w:rPr>
          <w:rFonts w:ascii="Times New Roman" w:eastAsia="Calibri" w:hAnsi="Times New Roman" w:cs="Times New Roman"/>
          <w:b/>
          <w:noProof/>
          <w:sz w:val="20"/>
          <w:szCs w:val="20"/>
          <w:lang w:val="ru-RU" w:eastAsia="ru-RU"/>
        </w:rPr>
        <w:drawing>
          <wp:inline distT="0" distB="0" distL="0" distR="0" wp14:anchorId="05B0138E" wp14:editId="4EEADFE3">
            <wp:extent cx="666750" cy="514350"/>
            <wp:effectExtent l="0" t="0" r="0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4B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                                                                            </w:t>
      </w:r>
    </w:p>
    <w:p w:rsidR="00E67691" w:rsidRPr="005334B6" w:rsidRDefault="00E67691" w:rsidP="00E6769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  <w:t>МУНИЦИПАЛЬНОЕ БЮДЖЕТНОЕ ОБЩЕОБРАЗОВАТЕЛЬНОЕ УЧРЕЖДЕНИЕ</w:t>
      </w:r>
    </w:p>
    <w:p w:rsidR="00E67691" w:rsidRPr="005334B6" w:rsidRDefault="00E67691" w:rsidP="00E6769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  <w:t>«ЗЕЛЕНОГОРСКАЯ СРЕДНЯЯ ШКОЛА»</w:t>
      </w:r>
    </w:p>
    <w:p w:rsidR="00E67691" w:rsidRPr="005334B6" w:rsidRDefault="00E67691" w:rsidP="00E6769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4"/>
          <w:szCs w:val="24"/>
          <w:lang w:val="ru-RU" w:eastAsia="ar-SA"/>
        </w:rPr>
        <w:t>БЕЛОГОРСКОГО РАЙОНА РЕСПУБЛИКИ КРЫМ</w:t>
      </w:r>
    </w:p>
    <w:p w:rsidR="00E67691" w:rsidRPr="005334B6" w:rsidRDefault="00E67691" w:rsidP="00E6769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 xml:space="preserve">МУНИЦИПАЛЬНИЙ БЮДЖЕТНИЙ 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>ЗАГАЛЬНООСВІТН</w:t>
      </w:r>
      <w:proofErr w:type="gramStart"/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  <w:t>I</w:t>
      </w:r>
      <w:proofErr w:type="gramEnd"/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 xml:space="preserve">Й ЗАКЛАД </w:t>
      </w:r>
    </w:p>
    <w:p w:rsidR="00E67691" w:rsidRPr="005334B6" w:rsidRDefault="00E67691" w:rsidP="00E6769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>«ЗЕЛЕНОГ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 xml:space="preserve">ІРСЬКА 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 xml:space="preserve">СЕРЕДНЯ ШКОЛА» БІЛОГІРСЬКОГО РАЙОНУ 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>РЕСПУБЛІКИ КРИМ</w:t>
      </w:r>
    </w:p>
    <w:p w:rsidR="00E67691" w:rsidRPr="005334B6" w:rsidRDefault="00E67691" w:rsidP="00E6769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18"/>
          <w:szCs w:val="18"/>
          <w:lang w:val="ru-RU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>КЪЫРЫМ ДЖУМХУРИЕТИ БЕЛОГОРСК РАЙОНЫ</w:t>
      </w:r>
    </w:p>
    <w:p w:rsidR="00E67691" w:rsidRPr="005334B6" w:rsidRDefault="00E67691" w:rsidP="00E67691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</w:pP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ru-RU" w:eastAsia="ar-SA"/>
        </w:rPr>
        <w:t xml:space="preserve">МУНИЦИПАЛЬ БЮДЖЕТ </w:t>
      </w:r>
      <w:r w:rsidRPr="005334B6">
        <w:rPr>
          <w:rFonts w:ascii="Times New Roman" w:eastAsia="Calibri" w:hAnsi="Times New Roman" w:cs="Times New Roman"/>
          <w:color w:val="0070C0"/>
          <w:sz w:val="20"/>
          <w:szCs w:val="20"/>
          <w:lang w:val="uk-UA" w:eastAsia="ar-SA"/>
        </w:rPr>
        <w:t>УМУМТАСИЛЬ МУЭССИСЕ «ЗЕЛЕНОГОРСК ОРТА МЕКТЕБИ»</w:t>
      </w:r>
    </w:p>
    <w:tbl>
      <w:tblPr>
        <w:tblW w:w="10490" w:type="dxa"/>
        <w:tblInd w:w="-743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67691" w:rsidRPr="00E67691" w:rsidTr="00E25ABF">
        <w:trPr>
          <w:trHeight w:val="28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67691" w:rsidRPr="005334B6" w:rsidRDefault="00E67691" w:rsidP="00E25ABF">
            <w:pPr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ru-RU" w:eastAsia="ar-SA"/>
              </w:rPr>
            </w:pPr>
          </w:p>
        </w:tc>
      </w:tr>
    </w:tbl>
    <w:p w:rsidR="00E67691" w:rsidRDefault="00E67691" w:rsidP="00E676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508D" w:rsidRPr="00304F3C" w:rsidRDefault="00304F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="00E67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№9 от 23.11.2022</w:t>
      </w:r>
      <w:r w:rsidRPr="00304F3C">
        <w:rPr>
          <w:lang w:val="ru-RU"/>
        </w:rPr>
        <w:br/>
      </w: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контроля качества подготовки к итоговому сочинению (изложению) по русскому языку обучающихся 11-х классов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учебный год,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планом контроля подготовки к ГИА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учебном году,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планом мероприятий по подготовке и проведению итогового сочинения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учебном году,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графиком оценочных процедур на первое полугодие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«Зеленогорская СШ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Крым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от 01.10.2022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№ 146 «О проведении тренировочного итогового сочинения для обучающихся 11-х классов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учебном году»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09.11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было проведено тренировочное итоговое сочинение по русскому языку в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 классе.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проверить степень и качество подготовки обучающихся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«Зеленогорская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к итоговому сочинению.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 проведения: 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20.10.2022.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комиссии по проверке: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 русского языка и литературы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Черкашина И.Н., Киричук Л.Л.,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Усеинова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Э.С.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 написании тренировочного итогового сочинения по русскому языку участвовали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обучающихся 11-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общего количества. Все обучающиеся выбрали сочинение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Анализ результата проверки по требованиям и критериям итогового сочинения обучающихся 11-х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3"/>
        <w:gridCol w:w="1529"/>
        <w:gridCol w:w="964"/>
        <w:gridCol w:w="1433"/>
        <w:gridCol w:w="1092"/>
      </w:tblGrid>
      <w:tr w:rsidR="0029508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</w:tr>
      <w:tr w:rsidR="002950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A11D9D" w:rsidRDefault="00A11D9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A11D9D" w:rsidRDefault="00A11D9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</w:tbl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Представленная выше таблица позволяет увидеть, что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все обучающиеся 11-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, которые присутствовали, получили «зачет» за тренировочную работу.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Написание сочинения проверяет умение создавать собственное связное высказывание на заданную тему с опорой на литературный материал. При этом особое внимание уделяется умению выпускника грамотно аргументировать свои мысли и утверждения.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был предложен следующий комплект тем сочинений для проведения итогового сочинения, разработанный педагогами МБОУ 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« Зеленогорская СШ»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Комплект тем итогового сочинения №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8"/>
        <w:gridCol w:w="3093"/>
        <w:gridCol w:w="3766"/>
      </w:tblGrid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29508D" w:rsidRPr="00E676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Духовно-нравственные ориентиры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человека к другому человеку (окружению), нравственные идеалы и выбор между добром и злом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Как, по-Вашему, связаны понятия чести и совести?</w:t>
            </w:r>
          </w:p>
        </w:tc>
      </w:tr>
      <w:tr w:rsidR="0029508D" w:rsidRPr="00E676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Вы вкладываете в понятие «счастье»?</w:t>
            </w:r>
          </w:p>
        </w:tc>
      </w:tr>
      <w:tr w:rsidR="0029508D" w:rsidRPr="00E676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общество, Отечество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род; семейные ценности и традиции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 и их место в жизни человека</w:t>
            </w:r>
          </w:p>
        </w:tc>
      </w:tr>
      <w:tr w:rsidR="0029508D" w:rsidRPr="00E676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Родина, государство, гражданская позиция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чем может проявляться любовь к Отечеству?</w:t>
            </w:r>
          </w:p>
        </w:tc>
      </w:tr>
      <w:tr w:rsidR="0029508D" w:rsidRPr="00E676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 и культура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 ли, с Вашей точки зрения, явление культуры (книга, музыкальное произведение, фильм, спектакль) изменить взгляды человека на жизнь?</w:t>
            </w:r>
          </w:p>
        </w:tc>
      </w:tr>
      <w:tr w:rsidR="0029508D" w:rsidRPr="00E676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Чему человек может научиться у природы?</w:t>
            </w:r>
          </w:p>
        </w:tc>
      </w:tr>
    </w:tbl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3. Выбор тем итогового сочинения выпускниками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40"/>
        <w:gridCol w:w="2617"/>
      </w:tblGrid>
      <w:tr w:rsidR="0029508D" w:rsidRPr="00E67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Pr="00304F3C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учеников, которые выбрали тему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Вы вкладываете в понятие «счастье»?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04F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Как, по-Вашему, связаны понятия чести и совести?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 и их место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 ли, с Вашей точки зрения, явление культуры (книга, музыкальное произведение, фильм, спектакль) изменить взгляды человека на жизнь?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чем может проявляться любовь к Отечеству?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Чему человек может научиться у природы?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Из таблицы видно, что самой востребованной была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«Семейные ценности и </w:t>
      </w:r>
      <w:proofErr w:type="spellStart"/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ихместо</w:t>
      </w:r>
      <w:proofErr w:type="spellEnd"/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в жизни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». Ее выбрали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Самой непопулярной оказалась тема «Чему человек может научиться у природы?», эту тему не выбрал никто. Работы проверялись в соответствии с критериями оценивания, утвержденными Федеральной службой по надзору в сфере образования и науки.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1 «СООТВЕТСТВИЕ ТЕМЕ»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Критерий 1 является важнейшим: выпускник должен откликнуться на предложенную задачу, избежать ее подмены, выбрать свой путь рассуждения, сформулировав тезисы, которые предстоит аргументированно раскрыть.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 этой задачей справились все обучающиеся на 100 процентов. Выпускники размышляют над предложенной проблемой, строят высказывание на основе связанных с темой тезисов, опираясь на художественные произведения, избегая при этом пересказа. Литературный материал используется как основа для собственных размышлений.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«АРГУМЕНТАЦИЯ. ПРИВЛЕЧЕНИЕ ЛИТЕРАТУРНОГО МАТЕРИАЛА»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работ показал, что все учащиеся построили свои рассуждения на основе литературного материала. Большинство из них привело в качестве доказательств не менее двух произведений.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По критерию 2 «зачет» получили 100 процентов обучающихся 11-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3 «КОМПОЗИЦИЯ И ЛОГИКА РАССУЖДЕНИЯ»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логично выстраивать рассуждение на предложенную тему, выдерживать композиционное единство сочинения-рассуждения смогла продемонстрировать большая часть выпускников. Грубых логических ошибок, мешающих пониманию смысла высказывания, в работах участников сочинения не отмечено. Работы учащихся отличаются целостностью, стройностью композиции: вступление, </w:t>
      </w:r>
      <w:proofErr w:type="spell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тезисно</w:t>
      </w:r>
      <w:proofErr w:type="spellEnd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-доказательная часть, заключение тесно связаны между собой.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По критерию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«зачет» получили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4 «КАЧЕСТВО ПИСЬМЕННОЙ РЕЧИ»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Подавляющее большинство учащихся владеет навыком построения сочинения-рассуждения, не допускает ошибок в композиции и логике высказывания, умеет грамотно использовать литературоведческие термины в соответствии с коммуникативным замыслом высказывания.</w:t>
      </w:r>
    </w:p>
    <w:p w:rsidR="0029508D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К недостаткам по данному критерию можно отнести следующие: отдельные работы демонстрируют примитивность письменной речи, однообразие синтаксических конструкций, низкий уровень речевой грамотности, неточность изложения фактического материала.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Наиболее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9508D" w:rsidRDefault="00304F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неудачное словоупотребление; </w:t>
      </w:r>
    </w:p>
    <w:p w:rsidR="0029508D" w:rsidRPr="00304F3C" w:rsidRDefault="00304F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употребление слов в несвойственных им значениях; </w:t>
      </w:r>
    </w:p>
    <w:p w:rsidR="0029508D" w:rsidRDefault="00304F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плеоназм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9508D" w:rsidRDefault="00304F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тавтология; </w:t>
      </w:r>
    </w:p>
    <w:p w:rsidR="0029508D" w:rsidRPr="00304F3C" w:rsidRDefault="00304F3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лексическая избыточность (неоправданное усложнение фраз).</w:t>
      </w:r>
    </w:p>
    <w:p w:rsidR="0029508D" w:rsidRPr="00304F3C" w:rsidRDefault="00304F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5 «ГРАМОТНОСТЬ»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Экспертами комиссии отмечен низкий уровень грамотности в ряде работ.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Получили «незачет» (то есть допустили более пяти ошибок на 100 слов) по данному критерию 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девять человек.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Типичные орфографические ошибки, допущенные учащимися:</w:t>
      </w:r>
    </w:p>
    <w:p w:rsidR="0029508D" w:rsidRPr="00304F3C" w:rsidRDefault="00304F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«не» с разными частями речи; </w:t>
      </w:r>
    </w:p>
    <w:p w:rsidR="0029508D" w:rsidRPr="00304F3C" w:rsidRDefault="00304F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написании производных союзов; </w:t>
      </w:r>
    </w:p>
    <w:p w:rsidR="0029508D" w:rsidRDefault="00304F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9508D" w:rsidRPr="00304F3C" w:rsidRDefault="00304F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построении предложения с однородными членами, с деепричастными и причастными оборотами; </w:t>
      </w:r>
    </w:p>
    <w:p w:rsidR="0029508D" w:rsidRPr="00304F3C" w:rsidRDefault="00304F3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написание усилительной частицы «ни» и др.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Типичные пунктуационные ошибки, допущенные учащимися: наиболее частые ошибки связаны с темами «Пунктуация в предложениях с вводными конструкциями, с однородными членами», «Пунктуация в предложениях с обособленными второстепенными членами», «Пунктуация в сложных предложениях, состоящих из нескольких частей».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Типичные грамматические ошибки, допущенные учащимися:</w:t>
      </w:r>
    </w:p>
    <w:p w:rsidR="0029508D" w:rsidRDefault="00304F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9508D" w:rsidRPr="00304F3C" w:rsidRDefault="00304F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построении предложения с однородными членами, с деепричастными и причастными оборотами; </w:t>
      </w:r>
    </w:p>
    <w:p w:rsidR="0029508D" w:rsidRDefault="00304F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9508D" w:rsidRDefault="00304F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неоправданный пропуск подлежащего; </w:t>
      </w:r>
    </w:p>
    <w:p w:rsidR="0029508D" w:rsidRPr="00304F3C" w:rsidRDefault="00304F3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объединение синтаксической связью разнотипных синтаксических единиц. 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 отдельную категорию выделяются графические ошибки, то есть различные описки, вызванные невнимательностью пишущего или поспешностью написания. Например, неправильное написание, искажающее звуковой облик слова («</w:t>
      </w:r>
      <w:proofErr w:type="spell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рапотает</w:t>
      </w:r>
      <w:proofErr w:type="spellEnd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» вместо «работает», «</w:t>
      </w:r>
      <w:proofErr w:type="spell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мемля</w:t>
      </w:r>
      <w:proofErr w:type="spellEnd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» вместо «земля»). Эти ошибки связаны с графикой, то есть средствами письменности данного языка, фиксирующими отношения между буквами на письме и звуками устной речи. К графическим средствам, помимо букв, относятся различные приемы сокращения слов, использование пробелов между словами, различные подчеркивания и шрифтовые выделения.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Одиночные графические ошибки не учитываются при проверке, но если таких ошибок больше пяти на 100 слов, то работу следует признать неграмотной.</w:t>
      </w:r>
    </w:p>
    <w:p w:rsidR="0029508D" w:rsidRPr="00304F3C" w:rsidRDefault="00304F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 написании тренировочного итогового сочинения по русскому языку участвовали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11-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0 процентов от общего количества выпускников. 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15 обучающихся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справились с тренировочной работой и получили «зачет», что говорит о высоком уровне готовности к итоговому сочинению.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С двумя обучающимися</w:t>
      </w:r>
      <w:proofErr w:type="gramStart"/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получившими « незачет», планируется проведение дополнительной работы.</w:t>
      </w:r>
    </w:p>
    <w:p w:rsidR="0029508D" w:rsidRPr="00304F3C" w:rsidRDefault="00304F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1. Администрации МБОУ 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« Зеленогорская СШ»</w:t>
      </w:r>
      <w:r w:rsidR="00E67691"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Крым</w:t>
      </w:r>
      <w:bookmarkStart w:id="0" w:name="_GoBack"/>
      <w:bookmarkEnd w:id="0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1.1. Усилить контроль работы педагогов и обучающихся, ориентированной на качественный конечный результат по подготовке к ГИА.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1.2. Усилить </w:t>
      </w:r>
      <w:proofErr w:type="spell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работы по индивидуальным образовательным маршрутам с выпускниками с низкой мотивацией и выпускниками, способными к достижению максимального результата на ЕГЭ.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1.3. Организовать методическую поддержку учителей русского языка и литературы в подготовке высокомотивированных выпускников.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Проанализировать на методических совещаниях причины допущенных ошибок, внести соответствующие коррективы в план подготовки обучающихся к ГИА.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до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2022.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1.5. Довести результаты тренировочного итогового сочинения до сведения родителей</w:t>
      </w:r>
      <w:proofErr w:type="gram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Срок: до </w:t>
      </w:r>
      <w:r w:rsidR="00E67691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.11.2022.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 литературы: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2.1. Провести работу над типичными ошибками, которые допустили обучающиеся в тренировочном итоговом сочинении.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до 2</w:t>
      </w:r>
      <w:r w:rsidR="00E6769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.11.2022.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Исполнитель: заместитель директора по УВР</w:t>
      </w:r>
      <w:r w:rsidR="00334D7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Л.И. Керимова</w:t>
      </w:r>
    </w:p>
    <w:p w:rsidR="0029508D" w:rsidRPr="00334D73" w:rsidRDefault="002950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9508D" w:rsidRPr="00334D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1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776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053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508D"/>
    <w:rsid w:val="002D33B1"/>
    <w:rsid w:val="002D3591"/>
    <w:rsid w:val="00304F3C"/>
    <w:rsid w:val="00334D73"/>
    <w:rsid w:val="003514A0"/>
    <w:rsid w:val="004F7E17"/>
    <w:rsid w:val="005A05CE"/>
    <w:rsid w:val="00653AF6"/>
    <w:rsid w:val="0089126C"/>
    <w:rsid w:val="00A11D9D"/>
    <w:rsid w:val="00B73A5A"/>
    <w:rsid w:val="00E438A1"/>
    <w:rsid w:val="00E6769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676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676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3</cp:revision>
  <dcterms:created xsi:type="dcterms:W3CDTF">2022-11-21T11:00:00Z</dcterms:created>
  <dcterms:modified xsi:type="dcterms:W3CDTF">2022-11-28T09:17:00Z</dcterms:modified>
</cp:coreProperties>
</file>