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BE" w:rsidRDefault="009E34BE" w:rsidP="009E34BE">
      <w:pPr>
        <w:jc w:val="center"/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  <w:t>Консультация для родителей:</w:t>
      </w:r>
    </w:p>
    <w:p w:rsidR="009E34BE" w:rsidRDefault="009E34BE" w:rsidP="009E34BE">
      <w:pPr>
        <w:jc w:val="center"/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  <w:t xml:space="preserve"> «Связь фольклорных игр с антитеррористической безопасностью»</w:t>
      </w:r>
    </w:p>
    <w:p w:rsidR="009E34BE" w:rsidRPr="009E34BE" w:rsidRDefault="009E34BE" w:rsidP="009E34BE">
      <w:pPr>
        <w:jc w:val="center"/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</w:pPr>
    </w:p>
    <w:p w:rsidR="009E34BE" w:rsidRPr="009E34BE" w:rsidRDefault="009E34BE" w:rsidP="009E34BE">
      <w:pPr>
        <w:jc w:val="both"/>
        <w:rPr>
          <w:rFonts w:ascii="Times New Roman" w:hAnsi="Times New Roman" w:cs="Times New Roman"/>
          <w:i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i/>
          <w:color w:val="0C0D0E"/>
          <w:spacing w:val="3"/>
          <w:sz w:val="32"/>
          <w:szCs w:val="32"/>
          <w:shd w:val="clear" w:color="auto" w:fill="FFFFFF"/>
        </w:rPr>
        <w:t>Цель:</w:t>
      </w:r>
      <w:r w:rsidRPr="009E34BE">
        <w:rPr>
          <w:rFonts w:ascii="Times New Roman" w:hAnsi="Times New Roman" w:cs="Times New Roman"/>
          <w:i/>
          <w:color w:val="0C0D0E"/>
          <w:spacing w:val="3"/>
          <w:sz w:val="32"/>
          <w:szCs w:val="32"/>
          <w:shd w:val="clear" w:color="auto" w:fill="FFFFFF"/>
        </w:rPr>
        <w:t xml:space="preserve"> помочь родителям понять, как народные игры способствуют формированию у дошкольников навыков безопасного поведения в экстремальных ситуациях, и показать способы поддержки этого процесса в семье.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1. Почему именно игры? Дошкольный возраст — период, когда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игра — ведущий вид деятельности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. Через игру ребёнок: осваив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ает социальные роли и правила;  учится управлять эмоциями;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отрабатывает модели пове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дения в безопасной обстановке;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приобретает опыт совместных действий.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Прямые инструкции и запугивание в этом возрасте малоэффективны и могут вызвать тревожность. Игра же позволяет «прожить» сложные ситуации без </w:t>
      </w:r>
      <w:proofErr w:type="spellStart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психотравмы</w:t>
      </w:r>
      <w:proofErr w:type="spellEnd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2. Как фольклорные игры связаны с безопасностью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.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В традиционных народных играх часто мод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елируются ситуации, требующие: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быстрой реакции на сигна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л;  слаженных действий в группе;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умения п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рятаться или находить укрытие;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соблюдения правил даже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при эмоциональном напряжении;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взаимопомощи и поддержки.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proofErr w:type="gramStart"/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Примеры механизмов: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хороводные игры («Каравай», «Ручеёк») — развивают чувство единства, учат дей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ствовать синхронно;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игры с водящим («Салки», «Коршун») — тренируют реакц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ию, умение избегать опасности;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игры на тишину («Тише, мыши, кот на крыше») — учат контролировать движения и голос в напряжённой ситуации. </w:t>
      </w:r>
      <w:proofErr w:type="gramEnd"/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lastRenderedPageBreak/>
        <w:t>3. Какие навыки формируются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: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Через фольклорные игры ребёнок неосознанно осваивает ключ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евые компетенции безопасности: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Самоконтроль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умение сдерживать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импульсы, следовать правилам.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Ориентировка в пространстве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быстро находить укр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ытия, выходы, безопасные зоны.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Кооперация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действовать сообща, н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е паниковать, помогать другим.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Адаптивность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быстро переключатьс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я между действиями по сигналу.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Эмоциональная устойчивость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 — сохранять спокойствие в стрессовой ситуации.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4. Как родители могут поддержать процесс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: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Играйте вместе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повторяйте в семье и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гры из детского сада; </w:t>
      </w:r>
      <w:proofErr w:type="gramStart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адаптируйте правила под домашние условия</w:t>
      </w:r>
      <w:proofErr w:type="gramEnd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(например, «Прятки» в квартире).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Обсуждайте смыслы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после игры спросите: «Что бы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ло сложно? Как ты справился?»;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связывайте игровые ситуации с </w:t>
      </w:r>
      <w:proofErr w:type="gramStart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реальными</w:t>
      </w:r>
      <w:proofErr w:type="gramEnd"/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: «Как в игре ты прятался — так и в случае тревоги нужно тихо зайти в безопасное место».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Создавайте безопасные сценарии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на прогулке имитируйте действия при сигнале (например, «Давай представим, что звуч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ит сирена — куда мы пойдём?»);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тренируйте ориентировку: «Найди 3 укрытия возле дома».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Поддерживайте позитивный настрой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избегайте пугающих формулировок («Если не буде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шь слушаться, случится беда»);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lastRenderedPageBreak/>
        <w:t xml:space="preserve">хвалите за слаженные действия: «Ты быстро сориентировался — это очень важно!»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Чего избегать: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Излишней драматизации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 — не превращайте игру в «тренировку по тревоге».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Насилия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если ребёнок не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хочет играть, не настаивайте.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Сложных объяснений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дозируйте информацию по возрасту («Есть правила, которые помогаю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т всем быть в безопасности»).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При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меры игр для домашней практики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«Тише, мыши»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 — учит 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замирать и молчать по сигналу.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«Гуси-лебеди»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трен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ирует бег к «дому» по команде.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«Карусель»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(в кругу с платком) — развивает к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оординацию и следование ритму.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«Море волнуется раз…»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 — учит мгновенно замирать. 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Важные акценты: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Фольклорные игры — это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не имитация теракта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, а тренировка универсальных навыков: самоконтроля, ск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орости реакции, взаимовыручки.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Результат достигается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систематически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 — достаточно 10–15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 минут игры 2–3 раза в неделю.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Главная цель — не «заучить алгоритм», а </w:t>
      </w: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сформировать уверенность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: «Я знаю, как дей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>ствовать, и могу помочь другим».</w:t>
      </w:r>
    </w:p>
    <w:p w:rsid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b/>
          <w:color w:val="0C0D0E"/>
          <w:spacing w:val="3"/>
          <w:sz w:val="32"/>
          <w:szCs w:val="32"/>
          <w:shd w:val="clear" w:color="auto" w:fill="FFFFFF"/>
        </w:rPr>
        <w:t>Заключение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: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Народные игры — мягкий и эффективный способ подготовить ребёнка к действиям в экстремальных ситуациях. Ваша задача — поддерживать интерес к игре, обсуждать её смыслы и показывать личный пример спокойного следования правилам безопасности. </w:t>
      </w:r>
    </w:p>
    <w:p w:rsidR="00A04F1E" w:rsidRPr="009E34BE" w:rsidRDefault="009E34BE" w:rsidP="009E34BE">
      <w:pPr>
        <w:jc w:val="both"/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</w:pPr>
      <w:r w:rsidRPr="009E34BE">
        <w:rPr>
          <w:rStyle w:val="bold"/>
          <w:rFonts w:ascii="Times New Roman" w:hAnsi="Times New Roman" w:cs="Times New Roman"/>
          <w:b/>
          <w:bCs/>
          <w:color w:val="0C0D0E"/>
          <w:spacing w:val="3"/>
          <w:sz w:val="32"/>
          <w:szCs w:val="32"/>
          <w:shd w:val="clear" w:color="auto" w:fill="FFFFFF"/>
        </w:rPr>
        <w:t>Вопросы для рефлексии:</w:t>
      </w:r>
      <w:r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</w:t>
      </w:r>
      <w:r w:rsidRPr="009E34BE">
        <w:rPr>
          <w:rFonts w:ascii="Times New Roman" w:hAnsi="Times New Roman" w:cs="Times New Roman"/>
          <w:color w:val="0C0D0E"/>
          <w:spacing w:val="3"/>
          <w:sz w:val="32"/>
          <w:szCs w:val="32"/>
          <w:shd w:val="clear" w:color="auto" w:fill="FFFFFF"/>
        </w:rPr>
        <w:t xml:space="preserve"> Какие народные игры вы помните из своего детства?</w:t>
      </w:r>
    </w:p>
    <w:sectPr w:rsidR="00A04F1E" w:rsidRPr="009E34BE" w:rsidSect="009E34BE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E34BE"/>
    <w:rsid w:val="009E34BE"/>
    <w:rsid w:val="00A0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9E3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3сад</dc:creator>
  <cp:keywords/>
  <dc:description/>
  <cp:lastModifiedBy>3сад</cp:lastModifiedBy>
  <cp:revision>2</cp:revision>
  <dcterms:created xsi:type="dcterms:W3CDTF">2026-02-13T07:37:00Z</dcterms:created>
  <dcterms:modified xsi:type="dcterms:W3CDTF">2026-02-13T07:45:00Z</dcterms:modified>
</cp:coreProperties>
</file>