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A46" w:rsidRPr="005E59AD" w:rsidRDefault="00513A46" w:rsidP="00CD18CF">
      <w:pPr>
        <w:pStyle w:val="a3"/>
        <w:shd w:val="clear" w:color="auto" w:fill="FFFFFF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E59AD">
        <w:rPr>
          <w:rFonts w:ascii="Times New Roman" w:hAnsi="Times New Roman"/>
          <w:b/>
          <w:sz w:val="24"/>
          <w:szCs w:val="24"/>
        </w:rPr>
        <w:t>Подготовка учащихся к участию в международных мониторинговых исследованиях качества образования (PIRLS, PISA, TIMSS).</w:t>
      </w:r>
    </w:p>
    <w:bookmarkEnd w:id="0"/>
    <w:p w:rsidR="00CD18CF" w:rsidRDefault="00CD18CF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С целью выработки общих подходов к пониманию понятия «функциональная грамотность», выявления её связи с требованиями ФГОС, разработки методологии и инструментария её формирования и оценивания Центром оценки качества образования Института стратегии развития образования Российской академии образования реализуется проект «Мониторинг формирования функциональной грамотности учащихся» (http://skiv.instrao.ru/). В ходе проекта определены 6 основных направлений формирования функциональной грамотности (далее – ФГ) в общеобразовательных организациях Российской Федерации: 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мышление.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Демонстрационные материалы по каждому направлению формирования ФГ, в которые входят: описание основных подходов к оценке каждого компонента ФГ, демоверсия, характеристики заданий и система оценивания, - описывают специфику формирования ФГ и являются основой для отбора или разработки учителями аналогичных заданий для целесообразного использования в образовательной деятельности.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Особый статус предмета «Русский язык», являющегося одновременно и учебным предметом, и средством освоения содержания других предметов,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E28">
        <w:rPr>
          <w:rFonts w:ascii="Times New Roman" w:hAnsi="Times New Roman"/>
          <w:sz w:val="24"/>
          <w:szCs w:val="24"/>
        </w:rPr>
        <w:t>обуславливает его особую роль в формировании ФГ. Учителям русского языка и литературы рекомендуется в ходе методической работы последовательно изучить демонстрационные материалы по каждой составляющей ФГ, обращая особо</w:t>
      </w:r>
      <w:r>
        <w:rPr>
          <w:rFonts w:ascii="Times New Roman" w:hAnsi="Times New Roman"/>
          <w:sz w:val="24"/>
          <w:szCs w:val="24"/>
        </w:rPr>
        <w:t>е внимание на специфику заданий.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 xml:space="preserve"> При разработке и использовании в образовательной деятельности таких заданий необходимо учитывать, что ФГ в основном проявляется в решении проблемных задач, выходящих за пределы учебных ситуаций и не похожих на 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E28">
        <w:rPr>
          <w:rFonts w:ascii="Times New Roman" w:hAnsi="Times New Roman"/>
          <w:sz w:val="24"/>
          <w:szCs w:val="24"/>
        </w:rPr>
        <w:t>задачи, в ходе которых приобретались и отрабатывались знания и умения. Такие задачи делаются по аналогии с задачами исследования PISA, основные особенности которых заключаются в следующем: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задача на формирование ФГ ставится вне предметной области и решается с помощью предметных знаний, например, по русскому языку;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в каждом из заданий описывается жизненная ситуация, как правило, близкая, понятная учащемуся;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контекст заданий близок к проблемным ситуациям, возникающим в повседневной жизни;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ситуация требует осознанного выбора модели поведения;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вопросы изложены простым, ясным языком и, как правило, немногословны;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задания требуют перевода с обыденного языка на язык предметной области (математики, физики и др.);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 используются иллюстрации: рисунки, таблицы, схемы.</w:t>
      </w:r>
    </w:p>
    <w:p w:rsidR="00513A46" w:rsidRPr="002C6E28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>Следовательно, задание на формирование и оценку ФГ – это нетипичное задание, в котором предлагается рассмотреть некоторые проблемы из реальной жизни. Решение этих задач, как правило, требует применения знаний в незнакомой ситуации, поиска новых решений или способов действий, т.е. требует творческой активности.</w:t>
      </w:r>
    </w:p>
    <w:p w:rsidR="00513A46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6E28">
        <w:rPr>
          <w:rFonts w:ascii="Times New Roman" w:hAnsi="Times New Roman"/>
          <w:sz w:val="24"/>
          <w:szCs w:val="24"/>
        </w:rPr>
        <w:t xml:space="preserve">Методическую помощь учителю русского языка в формировании ФГ на уроках окажут пособия издательства «Просвещение», в частности: Федоров В.В., </w:t>
      </w:r>
      <w:proofErr w:type="spellStart"/>
      <w:r w:rsidRPr="002C6E28">
        <w:rPr>
          <w:rFonts w:ascii="Times New Roman" w:hAnsi="Times New Roman"/>
          <w:sz w:val="24"/>
          <w:szCs w:val="24"/>
        </w:rPr>
        <w:t>Богомазова</w:t>
      </w:r>
      <w:proofErr w:type="spellEnd"/>
      <w:r w:rsidRPr="002C6E28">
        <w:rPr>
          <w:rFonts w:ascii="Times New Roman" w:hAnsi="Times New Roman"/>
          <w:sz w:val="24"/>
          <w:szCs w:val="24"/>
        </w:rPr>
        <w:t xml:space="preserve"> С.В., Гончарук С.Ю. и др. Формирование функциональной грамотности. Сборник задач по </w:t>
      </w:r>
      <w:r w:rsidRPr="002C6E28">
        <w:rPr>
          <w:rFonts w:ascii="Times New Roman" w:hAnsi="Times New Roman"/>
          <w:sz w:val="24"/>
          <w:szCs w:val="24"/>
        </w:rPr>
        <w:lastRenderedPageBreak/>
        <w:t>русскому языку для 8-11 классов. – М.: Просвещение, 2018</w:t>
      </w:r>
      <w:r>
        <w:rPr>
          <w:rFonts w:ascii="Times New Roman" w:hAnsi="Times New Roman"/>
          <w:sz w:val="24"/>
          <w:szCs w:val="24"/>
        </w:rPr>
        <w:t>, а также электронные образовательные ресурсы.</w:t>
      </w:r>
    </w:p>
    <w:p w:rsidR="00513A46" w:rsidRDefault="00513A46" w:rsidP="00513A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3A46" w:rsidRDefault="00513A46" w:rsidP="00513A4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13A46" w:rsidRDefault="00513A46" w:rsidP="00513A46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13A46">
        <w:rPr>
          <w:rFonts w:ascii="Times New Roman" w:hAnsi="Times New Roman"/>
          <w:b/>
          <w:color w:val="000000" w:themeColor="text1"/>
          <w:sz w:val="24"/>
          <w:szCs w:val="24"/>
        </w:rPr>
        <w:t>Электронные образовательные ресурсы</w:t>
      </w:r>
    </w:p>
    <w:p w:rsidR="00513A46" w:rsidRPr="00513A46" w:rsidRDefault="00513A46" w:rsidP="00513A46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5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Сайт Центра оценки качества образования (ЦОКО) Института стратегий развития образования Российской академии образования (ИСРО РАО)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6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Открытые материалы по исследованию PISA</w:t>
        </w:r>
      </w:hyperlink>
      <w:r w:rsidRPr="00513A4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(эти задания ориентированы на 15-летних школьников, можно использовать для 8-10-классников)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Подборка материалов по читательской грамотности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8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Портал Института стратегий развития образования Российской академии образования (ИСРО РАО)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Слушатели могут ознакомиться с материалами Федерального мониторинга функциональной грамотности. Задания для 5 класса можно использовать для 4-5-классников, 7 класса – для 6-7-классников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9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Раздел проекта «Мониторинг формирования функциональной грамотности» </w:t>
        </w:r>
      </w:hyperlink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10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Открытые материалы раздела проекта «Мониторинг формирования функциональной грамотности»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hyperlink r:id="rId11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Подборка материалов по читательской грамотности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 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</w:pPr>
      <w:hyperlink r:id="rId12" w:tgtFrame="_blank" w:history="1">
        <w:r w:rsidRPr="00513A46">
          <w:rPr>
            <w:rFonts w:ascii="Times New Roman" w:hAnsi="Times New Roman"/>
            <w:b/>
            <w:bCs/>
            <w:color w:val="000000" w:themeColor="text1"/>
            <w:sz w:val="24"/>
            <w:szCs w:val="24"/>
            <w:u w:val="single"/>
            <w:lang w:val="en-US" w:eastAsia="ru-RU"/>
          </w:rPr>
          <w:t>Schleicher A., Ramos G. Global competency for an inclusive world // OECD, 2016</w:t>
        </w:r>
      </w:hyperlink>
      <w:r w:rsidRPr="00513A46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 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Неожиданная победа: российские школьники читают лучше других [Текст] / под науч. ред. И.Д. Фрумина. – М.: Изд. дом ГУ–ВШЭ, 2010</w:t>
      </w:r>
    </w:p>
    <w:p w:rsidR="00513A46" w:rsidRPr="00513A46" w:rsidRDefault="00513A46" w:rsidP="00513A4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Цукерман</w:t>
      </w:r>
      <w:proofErr w:type="spellEnd"/>
      <w:r w:rsidRPr="00513A4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Г.А., Ковалева Г.С., Кузнецова М.И. Победа в PIRLS и поражение в PISA: судьба читательской грамотности 10-15-летних школьников // Вопросы образования. – 2011. – № 2. – С. 123–150</w:t>
      </w:r>
    </w:p>
    <w:p w:rsidR="00E24B7A" w:rsidRDefault="00E24B7A"/>
    <w:sectPr w:rsidR="00E2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A7284"/>
    <w:multiLevelType w:val="hybridMultilevel"/>
    <w:tmpl w:val="15A4B7B2"/>
    <w:lvl w:ilvl="0" w:tplc="87C4099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A431ED"/>
    <w:multiLevelType w:val="multilevel"/>
    <w:tmpl w:val="0868D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28"/>
    <w:rsid w:val="00513A46"/>
    <w:rsid w:val="00CD18CF"/>
    <w:rsid w:val="00DF1A28"/>
    <w:rsid w:val="00E2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F4290-F9FA-4591-996C-F7B0F359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A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3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a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eroko.ru/pisa18/pisa2018_rl.html" TargetMode="External"/><Relationship Id="rId12" Type="http://schemas.openxmlformats.org/officeDocument/2006/relationships/hyperlink" Target="https://www.oecd.org/pisa/aboutpisa/Global-competency-for-an-inclusive-worl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eroko.ru/pisa18/pisa2018.html" TargetMode="External"/><Relationship Id="rId11" Type="http://schemas.openxmlformats.org/officeDocument/2006/relationships/hyperlink" Target="http://skiv.instrao.ru/support/demonstratsionnye-materialya/chitatelskaya-gramotnost.php" TargetMode="External"/><Relationship Id="rId5" Type="http://schemas.openxmlformats.org/officeDocument/2006/relationships/hyperlink" Target="http://www.centeroko.ru/" TargetMode="External"/><Relationship Id="rId10" Type="http://schemas.openxmlformats.org/officeDocument/2006/relationships/hyperlink" Target="http://skiv.instrao.ru/support/demonstratsionnye-materialya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3</cp:revision>
  <dcterms:created xsi:type="dcterms:W3CDTF">2021-08-18T06:03:00Z</dcterms:created>
  <dcterms:modified xsi:type="dcterms:W3CDTF">2021-08-18T06:14:00Z</dcterms:modified>
</cp:coreProperties>
</file>