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A46" w:rsidRPr="005E59AD" w:rsidRDefault="00513A46" w:rsidP="00CD18CF">
      <w:pPr>
        <w:pStyle w:val="a3"/>
        <w:shd w:val="clear" w:color="auto" w:fill="FFFFFF"/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E59AD">
        <w:rPr>
          <w:rFonts w:ascii="Times New Roman" w:hAnsi="Times New Roman"/>
          <w:b/>
          <w:sz w:val="24"/>
          <w:szCs w:val="24"/>
        </w:rPr>
        <w:t>Подготовка учащихся к участию в международных мониторинговых исследованиях качества образования (PIRLS, PISA, TIMSS).</w:t>
      </w:r>
    </w:p>
    <w:bookmarkEnd w:id="0"/>
    <w:p w:rsidR="00CD18CF" w:rsidRDefault="00CD18CF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3A46" w:rsidRPr="002C6E28" w:rsidRDefault="00513A46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6E28">
        <w:rPr>
          <w:rFonts w:ascii="Times New Roman" w:hAnsi="Times New Roman"/>
          <w:sz w:val="24"/>
          <w:szCs w:val="24"/>
        </w:rPr>
        <w:t>С целью выработки общих подходов к пониманию понятия «функциональная грамотность», выявления её связи с требованиями ФГОС, разработки методологии и инструментария её формирования и оценивания Центром оценки качества образования Института стратегии развития образования Российской академии образования реализуется проект «Мониторинг формирования функциональной грамотности учащихся» (http://skiv.instrao.ru/). В ходе проекта определены 6 основных направлений формирования функциональной грамотности (далее – ФГ) в общеобразовательных организациях Российской Федерации: 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мышление.</w:t>
      </w:r>
    </w:p>
    <w:p w:rsidR="00513A46" w:rsidRPr="002C6E28" w:rsidRDefault="00513A46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6E28">
        <w:rPr>
          <w:rFonts w:ascii="Times New Roman" w:hAnsi="Times New Roman"/>
          <w:sz w:val="24"/>
          <w:szCs w:val="24"/>
        </w:rPr>
        <w:t>Демонстрационные материалы по каждому направлению формирования ФГ, в которые входят: описание основных подходов к оценке каждого компонента ФГ, демоверсия, характеристики заданий и система оценивания, - описывают специфику формирования ФГ и являются основой для отбора или разработки учителями аналогичных заданий для целесообразного использования в образовательной деятельности.</w:t>
      </w:r>
    </w:p>
    <w:p w:rsidR="00513A46" w:rsidRPr="002C6E28" w:rsidRDefault="00513A46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6E28">
        <w:rPr>
          <w:rFonts w:ascii="Times New Roman" w:hAnsi="Times New Roman"/>
          <w:sz w:val="24"/>
          <w:szCs w:val="24"/>
        </w:rPr>
        <w:t>Особый статус предмета «Русский язык», являющегося одновременно и учебным предметом, и средством освоения содержания других предметов,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6E28">
        <w:rPr>
          <w:rFonts w:ascii="Times New Roman" w:hAnsi="Times New Roman"/>
          <w:sz w:val="24"/>
          <w:szCs w:val="24"/>
        </w:rPr>
        <w:t>обуславливает его особую роль в формировании ФГ. Учителям русского языка и литературы рекомендуется в ходе методической работы последовательно изучить демонстрационные материалы по каждой составляющей ФГ, обращая особо</w:t>
      </w:r>
      <w:r>
        <w:rPr>
          <w:rFonts w:ascii="Times New Roman" w:hAnsi="Times New Roman"/>
          <w:sz w:val="24"/>
          <w:szCs w:val="24"/>
        </w:rPr>
        <w:t>е внимание на специфику заданий.</w:t>
      </w:r>
    </w:p>
    <w:p w:rsidR="00513A46" w:rsidRPr="002C6E28" w:rsidRDefault="00513A46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6E28">
        <w:rPr>
          <w:rFonts w:ascii="Times New Roman" w:hAnsi="Times New Roman"/>
          <w:sz w:val="24"/>
          <w:szCs w:val="24"/>
        </w:rPr>
        <w:t xml:space="preserve"> При разработке и использовании в образовательной деятельности таких заданий необходимо учитывать, что ФГ в основном проявляется в решении проблемных задач, выходящих за пределы учебных ситуаций и не похожих на 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6E28">
        <w:rPr>
          <w:rFonts w:ascii="Times New Roman" w:hAnsi="Times New Roman"/>
          <w:sz w:val="24"/>
          <w:szCs w:val="24"/>
        </w:rPr>
        <w:t>задачи, в ходе которых приобретались и отрабатывались знания и умения. Такие задачи делаются по аналогии с задачами исследования PISA, основные особенности которых заключаются в следующем:</w:t>
      </w:r>
    </w:p>
    <w:p w:rsidR="00513A46" w:rsidRPr="002C6E28" w:rsidRDefault="00513A46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6E28">
        <w:rPr>
          <w:rFonts w:ascii="Times New Roman" w:hAnsi="Times New Roman"/>
          <w:sz w:val="24"/>
          <w:szCs w:val="24"/>
        </w:rPr>
        <w:t> задача на формирование ФГ ставится вне предметной области и решается с помощью предметных знаний, например, по русскому языку;</w:t>
      </w:r>
    </w:p>
    <w:p w:rsidR="00513A46" w:rsidRPr="002C6E28" w:rsidRDefault="00513A46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6E28">
        <w:rPr>
          <w:rFonts w:ascii="Times New Roman" w:hAnsi="Times New Roman"/>
          <w:sz w:val="24"/>
          <w:szCs w:val="24"/>
        </w:rPr>
        <w:t> в каждом из заданий описывается жизненная ситуация, как правило, близкая, понятная учащемуся;</w:t>
      </w:r>
    </w:p>
    <w:p w:rsidR="00513A46" w:rsidRPr="002C6E28" w:rsidRDefault="00513A46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6E28">
        <w:rPr>
          <w:rFonts w:ascii="Times New Roman" w:hAnsi="Times New Roman"/>
          <w:sz w:val="24"/>
          <w:szCs w:val="24"/>
        </w:rPr>
        <w:t> контекст заданий близок к проблемным ситуациям, возникающим в повседневной жизни;</w:t>
      </w:r>
    </w:p>
    <w:p w:rsidR="00513A46" w:rsidRPr="002C6E28" w:rsidRDefault="00513A46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6E28">
        <w:rPr>
          <w:rFonts w:ascii="Times New Roman" w:hAnsi="Times New Roman"/>
          <w:sz w:val="24"/>
          <w:szCs w:val="24"/>
        </w:rPr>
        <w:t> ситуация требует осознанного выбора модели поведения;</w:t>
      </w:r>
    </w:p>
    <w:p w:rsidR="00513A46" w:rsidRPr="002C6E28" w:rsidRDefault="00513A46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6E28">
        <w:rPr>
          <w:rFonts w:ascii="Times New Roman" w:hAnsi="Times New Roman"/>
          <w:sz w:val="24"/>
          <w:szCs w:val="24"/>
        </w:rPr>
        <w:t> вопросы изложены простым, ясным языком и, как правило, немногословны;</w:t>
      </w:r>
    </w:p>
    <w:p w:rsidR="00513A46" w:rsidRPr="002C6E28" w:rsidRDefault="00513A46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6E28">
        <w:rPr>
          <w:rFonts w:ascii="Times New Roman" w:hAnsi="Times New Roman"/>
          <w:sz w:val="24"/>
          <w:szCs w:val="24"/>
        </w:rPr>
        <w:t> задания требуют перевода с обыденного языка на язык предметной области (математики, физики и др.);</w:t>
      </w:r>
    </w:p>
    <w:p w:rsidR="00513A46" w:rsidRPr="002C6E28" w:rsidRDefault="00513A46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6E28">
        <w:rPr>
          <w:rFonts w:ascii="Times New Roman" w:hAnsi="Times New Roman"/>
          <w:sz w:val="24"/>
          <w:szCs w:val="24"/>
        </w:rPr>
        <w:t> используются иллюстрации: рисунки, таблицы, схемы.</w:t>
      </w:r>
    </w:p>
    <w:p w:rsidR="00513A46" w:rsidRPr="002C6E28" w:rsidRDefault="00513A46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6E28">
        <w:rPr>
          <w:rFonts w:ascii="Times New Roman" w:hAnsi="Times New Roman"/>
          <w:sz w:val="24"/>
          <w:szCs w:val="24"/>
        </w:rPr>
        <w:t>Следовательно, задание на формирование и оценку ФГ – это нетипичное задание, в котором предлагается рассмотреть некоторые проблемы из реальной жизни. Решение этих задач, как правило, требует применения знаний в незнакомой ситуации, поиска новых решений или способов действий, т.е. требует творческой активности.</w:t>
      </w:r>
    </w:p>
    <w:p w:rsidR="00513A46" w:rsidRDefault="00513A46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6E28">
        <w:rPr>
          <w:rFonts w:ascii="Times New Roman" w:hAnsi="Times New Roman"/>
          <w:sz w:val="24"/>
          <w:szCs w:val="24"/>
        </w:rPr>
        <w:t xml:space="preserve">Методическую помощь учителю русского языка в формировании ФГ на уроках окажут пособия издательства «Просвещение», в частности: Федоров В.В., </w:t>
      </w:r>
      <w:proofErr w:type="spellStart"/>
      <w:r w:rsidRPr="002C6E28">
        <w:rPr>
          <w:rFonts w:ascii="Times New Roman" w:hAnsi="Times New Roman"/>
          <w:sz w:val="24"/>
          <w:szCs w:val="24"/>
        </w:rPr>
        <w:t>Богомазова</w:t>
      </w:r>
      <w:proofErr w:type="spellEnd"/>
      <w:r w:rsidRPr="002C6E28">
        <w:rPr>
          <w:rFonts w:ascii="Times New Roman" w:hAnsi="Times New Roman"/>
          <w:sz w:val="24"/>
          <w:szCs w:val="24"/>
        </w:rPr>
        <w:t xml:space="preserve"> С.В., Гончарук С.Ю. и др. Формирование функциональной грамотности. Сборник задач по </w:t>
      </w:r>
      <w:r w:rsidRPr="002C6E28">
        <w:rPr>
          <w:rFonts w:ascii="Times New Roman" w:hAnsi="Times New Roman"/>
          <w:sz w:val="24"/>
          <w:szCs w:val="24"/>
        </w:rPr>
        <w:lastRenderedPageBreak/>
        <w:t>русскому языку для 8-11 классов. – М.: Просвещение, 2018</w:t>
      </w:r>
      <w:r>
        <w:rPr>
          <w:rFonts w:ascii="Times New Roman" w:hAnsi="Times New Roman"/>
          <w:sz w:val="24"/>
          <w:szCs w:val="24"/>
        </w:rPr>
        <w:t>, а также электронные образовательные ресурсы.</w:t>
      </w:r>
    </w:p>
    <w:p w:rsidR="00513A46" w:rsidRDefault="00513A46" w:rsidP="00513A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3A46" w:rsidRDefault="00513A46" w:rsidP="00513A4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13A46" w:rsidRDefault="00513A46" w:rsidP="00513A46">
      <w:pPr>
        <w:shd w:val="clear" w:color="auto" w:fill="FFFFFF" w:themeFill="background1"/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13A46">
        <w:rPr>
          <w:rFonts w:ascii="Times New Roman" w:hAnsi="Times New Roman"/>
          <w:b/>
          <w:color w:val="000000" w:themeColor="text1"/>
          <w:sz w:val="24"/>
          <w:szCs w:val="24"/>
        </w:rPr>
        <w:t>Электронные образовательные ресурсы</w:t>
      </w:r>
    </w:p>
    <w:p w:rsidR="00513A46" w:rsidRPr="00513A46" w:rsidRDefault="00513A46" w:rsidP="00513A46">
      <w:pPr>
        <w:shd w:val="clear" w:color="auto" w:fill="FFFFFF" w:themeFill="background1"/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13A46" w:rsidRPr="00513A46" w:rsidRDefault="00513A46" w:rsidP="00513A46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hyperlink r:id="rId5" w:tgtFrame="_blank" w:history="1">
        <w:r w:rsidRPr="00513A46">
          <w:rPr>
            <w:rFonts w:ascii="Times New Roman" w:hAnsi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Сайт Центра оценки качества образования (ЦОКО) Института стратегий развития образования Российской академии образования (ИСРО РАО)</w:t>
        </w:r>
      </w:hyperlink>
      <w:r w:rsidRPr="00513A4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</w:t>
      </w:r>
    </w:p>
    <w:p w:rsidR="00513A46" w:rsidRPr="00513A46" w:rsidRDefault="00513A46" w:rsidP="00513A4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hyperlink r:id="rId6" w:tgtFrame="_blank" w:history="1">
        <w:r w:rsidRPr="00513A46">
          <w:rPr>
            <w:rFonts w:ascii="Times New Roman" w:hAnsi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Открытые материалы по исследованию PISA</w:t>
        </w:r>
      </w:hyperlink>
      <w:r w:rsidRPr="00513A4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513A4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(эти задания ориентированы на 15-летних школьников, можно использовать для 8-10-классников)</w:t>
      </w:r>
    </w:p>
    <w:p w:rsidR="00513A46" w:rsidRPr="00513A46" w:rsidRDefault="00513A46" w:rsidP="00513A4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hyperlink r:id="rId7" w:tgtFrame="_blank" w:history="1">
        <w:r w:rsidRPr="00513A46">
          <w:rPr>
            <w:rFonts w:ascii="Times New Roman" w:hAnsi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Подборка материалов по читательской грамотности</w:t>
        </w:r>
      </w:hyperlink>
      <w:r w:rsidRPr="00513A4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</w:t>
      </w:r>
    </w:p>
    <w:p w:rsidR="00513A46" w:rsidRPr="00513A46" w:rsidRDefault="00513A46" w:rsidP="00513A4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hyperlink r:id="rId8" w:tgtFrame="_blank" w:history="1">
        <w:r w:rsidRPr="00513A46">
          <w:rPr>
            <w:rFonts w:ascii="Times New Roman" w:hAnsi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Портал Института стратегий развития образования Российской академии образования (ИСРО РАО)</w:t>
        </w:r>
      </w:hyperlink>
      <w:r w:rsidRPr="00513A4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Слушатели могут ознакомиться с материалами Федерального мониторинга функциональной грамотности. Задания для 5 класса можно использовать для 4-5-классников, 7 класса – для 6-7-классников</w:t>
      </w:r>
    </w:p>
    <w:p w:rsidR="00513A46" w:rsidRPr="00513A46" w:rsidRDefault="00513A46" w:rsidP="00513A4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hyperlink r:id="rId9" w:tgtFrame="_blank" w:history="1">
        <w:r w:rsidRPr="00513A46">
          <w:rPr>
            <w:rFonts w:ascii="Times New Roman" w:hAnsi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Раздел проекта «Мониторинг формирования функциональной грамотности» </w:t>
        </w:r>
      </w:hyperlink>
    </w:p>
    <w:p w:rsidR="00513A46" w:rsidRPr="00513A46" w:rsidRDefault="00513A46" w:rsidP="00513A4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hyperlink r:id="rId10" w:tgtFrame="_blank" w:history="1">
        <w:r w:rsidRPr="00513A46">
          <w:rPr>
            <w:rFonts w:ascii="Times New Roman" w:hAnsi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Открытые материалы раздела проекта «Мониторинг формирования функциональной грамотности»</w:t>
        </w:r>
      </w:hyperlink>
      <w:r w:rsidRPr="00513A4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</w:t>
      </w:r>
    </w:p>
    <w:p w:rsidR="00513A46" w:rsidRPr="00513A46" w:rsidRDefault="00513A46" w:rsidP="00513A4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hyperlink r:id="rId11" w:tgtFrame="_blank" w:history="1">
        <w:r w:rsidRPr="00513A46">
          <w:rPr>
            <w:rFonts w:ascii="Times New Roman" w:hAnsi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Подборка материалов по читательской грамотности</w:t>
        </w:r>
      </w:hyperlink>
      <w:r w:rsidRPr="00513A4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 </w:t>
      </w:r>
    </w:p>
    <w:p w:rsidR="00513A46" w:rsidRPr="00513A46" w:rsidRDefault="00513A46" w:rsidP="00513A4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09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hyperlink r:id="rId12" w:tgtFrame="_blank" w:history="1">
        <w:r w:rsidRPr="00513A46">
          <w:rPr>
            <w:rFonts w:ascii="Times New Roman" w:hAnsi="Times New Roman"/>
            <w:b/>
            <w:bCs/>
            <w:color w:val="000000" w:themeColor="text1"/>
            <w:sz w:val="24"/>
            <w:szCs w:val="24"/>
            <w:u w:val="single"/>
            <w:lang w:val="en-US" w:eastAsia="ru-RU"/>
          </w:rPr>
          <w:t>Schleicher A., Ramos G. Global competency for an inclusive world // OECD, 2016</w:t>
        </w:r>
      </w:hyperlink>
      <w:r w:rsidRPr="00513A46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 </w:t>
      </w:r>
    </w:p>
    <w:p w:rsidR="00513A46" w:rsidRPr="00513A46" w:rsidRDefault="00513A46" w:rsidP="00513A4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13A4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Неожиданная победа: российские школьники читают лучше других [Текст] / под науч. ред. И.Д. Фрумина. – М.: Изд. дом ГУ–ВШЭ, 2010</w:t>
      </w:r>
    </w:p>
    <w:p w:rsidR="00513A46" w:rsidRPr="00513A46" w:rsidRDefault="00513A46" w:rsidP="00513A4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513A4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Цукерман</w:t>
      </w:r>
      <w:proofErr w:type="spellEnd"/>
      <w:r w:rsidRPr="00513A4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Г.А., Ковалева Г.С., Кузнецова М.И. Победа в PIRLS и поражение в PISA: судьба читательской грамотности 10-15-летних школьников // Вопросы образования. – 2011. – № 2. – С. 123–150</w:t>
      </w:r>
    </w:p>
    <w:p w:rsidR="00E24B7A" w:rsidRDefault="00E24B7A"/>
    <w:sectPr w:rsidR="00E2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A7284"/>
    <w:multiLevelType w:val="hybridMultilevel"/>
    <w:tmpl w:val="15A4B7B2"/>
    <w:lvl w:ilvl="0" w:tplc="87C409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A431ED"/>
    <w:multiLevelType w:val="multilevel"/>
    <w:tmpl w:val="0868D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28"/>
    <w:rsid w:val="00513A46"/>
    <w:rsid w:val="00CD18CF"/>
    <w:rsid w:val="00DF1A28"/>
    <w:rsid w:val="00E2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F4290-F9FA-4591-996C-F7B0F359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A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3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ra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nteroko.ru/pisa18/pisa2018_rl.html" TargetMode="External"/><Relationship Id="rId12" Type="http://schemas.openxmlformats.org/officeDocument/2006/relationships/hyperlink" Target="https://www.oecd.org/pisa/aboutpisa/Global-competency-for-an-inclusive-worl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eroko.ru/pisa18/pisa2018.html" TargetMode="External"/><Relationship Id="rId11" Type="http://schemas.openxmlformats.org/officeDocument/2006/relationships/hyperlink" Target="http://skiv.instrao.ru/support/demonstratsionnye-materialya/chitatelskaya-gramotnost.php" TargetMode="External"/><Relationship Id="rId5" Type="http://schemas.openxmlformats.org/officeDocument/2006/relationships/hyperlink" Target="http://www.centeroko.ru/" TargetMode="External"/><Relationship Id="rId10" Type="http://schemas.openxmlformats.org/officeDocument/2006/relationships/hyperlink" Target="http://skiv.instrao.ru/support/demonstratsionnye-materialya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3</cp:revision>
  <dcterms:created xsi:type="dcterms:W3CDTF">2021-08-18T06:03:00Z</dcterms:created>
  <dcterms:modified xsi:type="dcterms:W3CDTF">2021-08-18T06:14:00Z</dcterms:modified>
</cp:coreProperties>
</file>