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18" w:rsidRDefault="00DF4B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CD6818" w:rsidRDefault="00DF4B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CD6818" w:rsidRDefault="00DF4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6, с. Маленькое, Симферопольский район, РК, 297517</w:t>
      </w:r>
    </w:p>
    <w:p w:rsidR="00CD6818" w:rsidRDefault="00DF4BF8">
      <w:pPr>
        <w:spacing w:after="0"/>
        <w:ind w:right="57"/>
        <w:jc w:val="center"/>
      </w:pPr>
      <w:r>
        <w:rPr>
          <w:rFonts w:ascii="Times New Roman" w:hAnsi="Times New Roman" w:cs="Times New Roman"/>
          <w:sz w:val="24"/>
          <w:szCs w:val="24"/>
        </w:rPr>
        <w:t>тел/факс (3652) 32-56-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82,  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>
        <w:r>
          <w:rPr>
            <w:sz w:val="24"/>
            <w:szCs w:val="24"/>
            <w:shd w:val="clear" w:color="auto" w:fill="FFFFFF"/>
          </w:rPr>
          <w:t>school_simferopolskiy-rayon15@crimeaedy.ru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00790686</w:t>
      </w:r>
    </w:p>
    <w:p w:rsidR="00CD6818" w:rsidRDefault="00DF4BF8">
      <w:pPr>
        <w:spacing w:after="0"/>
        <w:ind w:right="5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ОГРН 1159102000090 </w:t>
      </w:r>
      <w:r>
        <w:rPr>
          <w:rFonts w:ascii="Times New Roman" w:eastAsia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9109008364</w:t>
      </w:r>
      <w:r>
        <w:rPr>
          <w:rFonts w:ascii="Times New Roman" w:hAnsi="Times New Roman" w:cs="Times New Roman"/>
          <w:sz w:val="24"/>
          <w:szCs w:val="24"/>
        </w:rPr>
        <w:t xml:space="preserve"> КПП </w:t>
      </w:r>
      <w:r>
        <w:rPr>
          <w:rFonts w:ascii="Times New Roman" w:eastAsia="Times New Roman" w:hAnsi="Times New Roman" w:cs="Times New Roman"/>
          <w:sz w:val="24"/>
          <w:szCs w:val="24"/>
        </w:rPr>
        <w:t>910901001</w:t>
      </w:r>
    </w:p>
    <w:p w:rsidR="00CD6818" w:rsidRDefault="00DF4BF8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715635" cy="9588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818" w:rsidRDefault="00CD68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6818" w:rsidRDefault="00CD68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6818" w:rsidRDefault="00CD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18" w:rsidRDefault="00DF4B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  об итогах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Дорожной карты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программе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 на 2019-2024»</w:t>
      </w:r>
    </w:p>
    <w:p w:rsidR="00CD6818" w:rsidRDefault="00DF4B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в 2020-2021 году.</w:t>
      </w:r>
    </w:p>
    <w:p w:rsidR="00CD6818" w:rsidRDefault="00CD68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818" w:rsidRDefault="00DF4BF8">
      <w:pPr>
        <w:shd w:val="clear" w:color="auto" w:fill="FFFFFF"/>
        <w:spacing w:after="12" w:line="240" w:lineRule="auto"/>
        <w:ind w:firstLine="33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Во исполнение приказа управлени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образования администрации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Симферопольского  района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 23.08.2022 №630  Об итогах реализации Муниципальной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программы»Перевод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общеобразовательных организаций Симферопольского района, показывающих низкие образовательные 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результаты,в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эффективный режим функц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ионирования на 2021-2024 годы» в 2021-2022 учебном году  МБОУ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Маленская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школа» была включена в список школ ,показывающих низкие образовательные результаты. </w:t>
      </w:r>
    </w:p>
    <w:p w:rsidR="00CD6818" w:rsidRDefault="00DF4B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1.По сравнению с 2019/2020 учебным годом снизилось качество обучения на уровне среднего общего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образования на 4%.</w:t>
      </w:r>
    </w:p>
    <w:p w:rsidR="00CD6818" w:rsidRDefault="00DF4BF8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При написании итогового сочинения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учащиеся не получили зачет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критерию «Грамотность»</w:t>
      </w:r>
    </w:p>
    <w:p w:rsidR="00CD6818" w:rsidRDefault="00DF4BF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3.В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написании  ЕГЭ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по математике базового уровня средний балл составляет 2,00.</w:t>
      </w:r>
    </w:p>
    <w:p w:rsidR="00CD6818" w:rsidRDefault="00DF4BF8">
      <w:pPr>
        <w:shd w:val="clear" w:color="auto" w:fill="FFFFFF"/>
        <w:spacing w:after="12" w:line="240" w:lineRule="auto"/>
        <w:ind w:firstLine="332"/>
        <w:jc w:val="both"/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ля реализации поставленных задач предприняты следующие меры в 2021/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2022 учебном году:</w:t>
      </w:r>
    </w:p>
    <w:p w:rsidR="00CD6818" w:rsidRDefault="00DF4BF8">
      <w:pPr>
        <w:pStyle w:val="a9"/>
        <w:numPr>
          <w:ilvl w:val="0"/>
          <w:numId w:val="1"/>
        </w:numPr>
        <w:shd w:val="clear" w:color="auto" w:fill="FFFFFF"/>
        <w:spacing w:after="12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Разработана и утверждена Дорожная карта по повышению качества образования для школ с НОР, включающая в себя подразделы работы педагогов как с учениками, так и с родителями обучающихся.</w:t>
      </w:r>
    </w:p>
    <w:p w:rsidR="00CD6818" w:rsidRDefault="00DF4BF8">
      <w:pPr>
        <w:pStyle w:val="a9"/>
        <w:numPr>
          <w:ilvl w:val="0"/>
          <w:numId w:val="1"/>
        </w:numPr>
        <w:shd w:val="clear" w:color="auto" w:fill="FFFFFF"/>
        <w:spacing w:after="12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Выделены дополнительные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часы  в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плане на 202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1/2022 учебный годы для усиления изучения предметов «Русский язык» и «Математика», «Обществознание».</w:t>
      </w:r>
    </w:p>
    <w:p w:rsidR="00CD6818" w:rsidRDefault="00DF4BF8">
      <w:pPr>
        <w:pStyle w:val="a9"/>
        <w:numPr>
          <w:ilvl w:val="0"/>
          <w:numId w:val="1"/>
        </w:numPr>
        <w:shd w:val="clear" w:color="auto" w:fill="FFFFFF"/>
        <w:spacing w:after="12" w:line="240" w:lineRule="auto"/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педагогическом совете в августе рассмотрена и утверждена единая методическая проблема школы на 2021/2024 гг. </w:t>
      </w:r>
      <w:r>
        <w:rPr>
          <w:rFonts w:ascii="Times New Roman" w:hAnsi="Times New Roman" w:cs="Times New Roman"/>
          <w:sz w:val="24"/>
          <w:szCs w:val="24"/>
        </w:rPr>
        <w:t xml:space="preserve">«Повышение качества образовательной </w:t>
      </w:r>
      <w:r>
        <w:rPr>
          <w:rFonts w:ascii="Times New Roman" w:hAnsi="Times New Roman" w:cs="Times New Roman"/>
          <w:sz w:val="24"/>
          <w:szCs w:val="24"/>
        </w:rPr>
        <w:t>деятельности через реализацию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обучении, воспитании и развитии учащихся»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818" w:rsidRDefault="00DF4BF8">
      <w:pPr>
        <w:pStyle w:val="a9"/>
        <w:numPr>
          <w:ilvl w:val="0"/>
          <w:numId w:val="1"/>
        </w:numPr>
        <w:shd w:val="clear" w:color="auto" w:fill="FFFFFF"/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 и утверждён План мероприятий по подготовке к государственной итоговой аттестации на 2021/2022 учебный год</w:t>
      </w:r>
    </w:p>
    <w:p w:rsidR="00CD6818" w:rsidRDefault="00DF4BF8">
      <w:pPr>
        <w:pStyle w:val="a9"/>
        <w:numPr>
          <w:ilvl w:val="0"/>
          <w:numId w:val="1"/>
        </w:numPr>
        <w:shd w:val="clear" w:color="auto" w:fill="FFFFFF"/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глубокий анализ по опр</w:t>
      </w:r>
      <w:r>
        <w:rPr>
          <w:rFonts w:ascii="Times New Roman" w:hAnsi="Times New Roman" w:cs="Times New Roman"/>
          <w:sz w:val="24"/>
          <w:szCs w:val="24"/>
        </w:rPr>
        <w:t>еделению причин низкой результативности качества учебно-воспитательного процесса и намечены пути их преодоления.</w:t>
      </w:r>
    </w:p>
    <w:p w:rsidR="00CD6818" w:rsidRDefault="00CD6818">
      <w:pPr>
        <w:pStyle w:val="a9"/>
        <w:shd w:val="clear" w:color="auto" w:fill="FFFFFF"/>
        <w:spacing w:after="12" w:line="240" w:lineRule="auto"/>
        <w:ind w:left="69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D6818" w:rsidRDefault="00DF4BF8">
      <w:pPr>
        <w:pStyle w:val="a5"/>
        <w:spacing w:after="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«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орожной картой» выполнены следующие мероприятия:</w:t>
      </w:r>
    </w:p>
    <w:tbl>
      <w:tblPr>
        <w:tblW w:w="10710" w:type="dxa"/>
        <w:tblInd w:w="-8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1973"/>
        <w:gridCol w:w="3270"/>
        <w:gridCol w:w="5014"/>
      </w:tblGrid>
      <w:tr w:rsidR="00CD681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</w:pPr>
            <w:r>
              <w:t>№</w:t>
            </w: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мероприятия</w:t>
            </w:r>
          </w:p>
        </w:tc>
      </w:tr>
      <w:tr w:rsidR="00CD6818">
        <w:trPr>
          <w:trHeight w:val="3213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</w:pPr>
            <w:r>
              <w:lastRenderedPageBreak/>
              <w:t>1</w:t>
            </w: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эффективной системы управления по повышению качества образования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D6818" w:rsidRDefault="00DF4BF8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Периодические отчёты о состоянии работы по повышению качества обучения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D6818" w:rsidRDefault="00DF4BF8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 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пов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 кач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 об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на методическом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совете 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г), в соответствии с которым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заседаниях ШМО рассматривались вопросы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роках по 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проблемных тем на 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поэлементного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зрезе предметов. Проводились контрольные срезы знаний по предметам (по итогам четвертей и года). С целью 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льной работы с детьми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классными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руководителями проводился мониторинг индивидуальных показателей учащихся в сравнении с предыдущими периодами.</w:t>
            </w:r>
          </w:p>
        </w:tc>
      </w:tr>
      <w:tr w:rsidR="00CD6818">
        <w:tc>
          <w:tcPr>
            <w:tcW w:w="4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</w:pPr>
            <w:r>
              <w:t>2.</w:t>
            </w:r>
          </w:p>
        </w:tc>
        <w:tc>
          <w:tcPr>
            <w:tcW w:w="19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кадры и уровень их профессиональной компетентности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курсов повышения квалификации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1.Уровень профессиональной компете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нтности:</w:t>
            </w:r>
          </w:p>
          <w:p w:rsidR="00CD6818" w:rsidRDefault="00DF4BF8">
            <w:pPr>
              <w:widowControl w:val="0"/>
              <w:shd w:val="clear" w:color="auto" w:fill="FFFFFF"/>
              <w:suppressAutoHyphens w:val="0"/>
              <w:spacing w:after="0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 профессиональной компетентности: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школы состоит из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категория-6 человек;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квалификационную категорию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человек;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занимаемой должности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педагогов;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имеют категории-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еловек.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Повышение квалификации педагогических кадров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 обеспечила все условия для непрерывного профессионального развития педагогов</w:t>
            </w:r>
          </w:p>
          <w:p w:rsidR="00CD6818" w:rsidRDefault="00CD681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4815" w:type="dxa"/>
              <w:tblInd w:w="41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1350"/>
              <w:gridCol w:w="1020"/>
            </w:tblGrid>
            <w:tr w:rsidR="00CD6818">
              <w:trPr>
                <w:trHeight w:hRule="exact" w:val="1020"/>
              </w:trPr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ind w:left="22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ind w:left="4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21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-2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ind w:left="418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CD6818">
              <w:trPr>
                <w:trHeight w:hRule="exact" w:val="1140"/>
              </w:trPr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Плановая курсовая подготовка при КРИППО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ind w:left="4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ind w:left="4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CD6818">
              <w:trPr>
                <w:trHeight w:hRule="exact" w:val="735"/>
              </w:trPr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Внеплановая очная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курсовая подготовка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ind w:left="4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D6818" w:rsidRDefault="00CD6818">
                  <w:pPr>
                    <w:widowControl w:val="0"/>
                    <w:shd w:val="clear" w:color="auto" w:fill="FFFFFF"/>
                    <w:spacing w:after="0" w:line="240" w:lineRule="auto"/>
                    <w:ind w:left="4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D6818" w:rsidRDefault="00CD681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6818" w:rsidRDefault="00CD681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Курсы профессиональной переподготовки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педработника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направлению «Цифровая педагогика».</w:t>
            </w:r>
          </w:p>
        </w:tc>
      </w:tr>
      <w:tr w:rsidR="00CD6818">
        <w:trPr>
          <w:trHeight w:val="1334"/>
        </w:trPr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методических мероприятиях различного уровня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pacing w:after="160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минувшем учебном году педагоги школы работали над повышением своего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 мастерства, посещая муниципальные методические объединения, выступая на педсоветах, семинарах, участвуя в конкурсах педагогического мастерства, занимаясь самообразованием.</w:t>
            </w: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uppressAutoHyphens w:val="0"/>
              <w:spacing w:after="0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приняли 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конкурсах:</w:t>
            </w:r>
          </w:p>
          <w:p w:rsidR="00CD6818" w:rsidRDefault="00DF4BF8">
            <w:pPr>
              <w:widowControl w:val="0"/>
              <w:shd w:val="clear" w:color="auto" w:fill="FFFFFF"/>
              <w:suppressAutoHyphens w:val="0"/>
              <w:spacing w:after="0" w:line="240" w:lineRule="auto"/>
              <w:ind w:right="-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Участие в муниципальном этапе конкурса «Педагогический дебют»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Ржищева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С.О.);</w:t>
            </w:r>
          </w:p>
          <w:p w:rsidR="00CD6818" w:rsidRDefault="00DF4BF8">
            <w:pPr>
              <w:widowControl w:val="0"/>
              <w:shd w:val="clear" w:color="auto" w:fill="FFFFFF"/>
              <w:suppressAutoHyphens w:val="0"/>
              <w:spacing w:after="0" w:line="240" w:lineRule="auto"/>
              <w:ind w:right="-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республиканском этапе конкурса «Воспитать человека» Лобода Н.И.;</w:t>
            </w:r>
          </w:p>
          <w:p w:rsidR="00CD6818" w:rsidRDefault="00DF4BF8">
            <w:pPr>
              <w:widowControl w:val="0"/>
              <w:shd w:val="clear" w:color="auto" w:fill="FFFFFF"/>
              <w:suppressAutoHyphens w:val="0"/>
              <w:spacing w:after="0" w:line="240" w:lineRule="auto"/>
              <w:ind w:right="-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частие во Всероссийском конкурсе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«Крымский улей —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О.Н.)</w:t>
            </w:r>
          </w:p>
          <w:p w:rsidR="00CD6818" w:rsidRDefault="00DF4BF8">
            <w:pPr>
              <w:widowControl w:val="0"/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частие во Всероссийском конкурсе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Отдавая сердце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2021»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О.Н.)</w:t>
            </w: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ППО (школьный, районный, региональный уровень)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Был обобщен передовой педагогический опыт следующих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 Кадырова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Марленовна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технологии Дусь Марины Анатольевны.</w:t>
            </w:r>
          </w:p>
          <w:p w:rsidR="00CD6818" w:rsidRDefault="00CD6818">
            <w:pPr>
              <w:widowControl w:val="0"/>
              <w:shd w:val="clear" w:color="auto" w:fill="FFFFFF"/>
              <w:suppressAutoHyphens w:val="0"/>
              <w:spacing w:after="0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818">
        <w:trPr>
          <w:trHeight w:val="654"/>
        </w:trPr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аттестации учителей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году аттестацию на СЗД прошли следующие педагоги:</w:t>
            </w:r>
          </w:p>
          <w:p w:rsidR="00CD6818" w:rsidRDefault="00DF4B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К.А., учитель начальных классов;</w:t>
            </w:r>
          </w:p>
          <w:p w:rsidR="00CD6818" w:rsidRDefault="00DF4B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Аттестацию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присвоение квалификационной категории прошли:</w:t>
            </w:r>
          </w:p>
          <w:p w:rsidR="00CD6818" w:rsidRDefault="00DF4B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Л.Л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первая категория;</w:t>
            </w:r>
          </w:p>
          <w:p w:rsidR="00CD6818" w:rsidRDefault="00DF4B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категория;</w:t>
            </w:r>
          </w:p>
          <w:p w:rsidR="00CD6818" w:rsidRDefault="00DF4B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категория;</w:t>
            </w:r>
          </w:p>
          <w:p w:rsidR="00CD6818" w:rsidRDefault="00DF4B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-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г-психолог- первая категория;</w:t>
            </w:r>
          </w:p>
        </w:tc>
      </w:tr>
      <w:tr w:rsidR="00CD681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>
            <w:pPr>
              <w:widowControl w:val="0"/>
              <w:spacing w:after="0"/>
            </w:pP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персонального контроля за качеством преподавания предметов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основании Перспективного плана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контроля, разработанного на 5 лет, проводится контроль за преподаванием предметов.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изучено состояние преподавания: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приказ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454/2-о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2021г);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истории, обществознания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приказ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 2021г);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технологии, ОБЖ,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приказ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г);</w:t>
            </w:r>
          </w:p>
          <w:p w:rsidR="00CD6818" w:rsidRDefault="00CD681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изучения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 преподавания даны рекомендации учителям-предметникам, которые рассмотрены на совещаниях при директоре.</w:t>
            </w:r>
          </w:p>
          <w:p w:rsidR="00CD6818" w:rsidRDefault="00CD6818">
            <w:pPr>
              <w:widowControl w:val="0"/>
              <w:tabs>
                <w:tab w:val="left" w:pos="40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6818" w:rsidRDefault="00DF4BF8">
            <w:pPr>
              <w:widowControl w:val="0"/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Помимо этого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осуществлялись районные проверки преподавания учебных предметов и ведения документации учителями-предмет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никами</w:t>
            </w:r>
          </w:p>
          <w:p w:rsidR="00CD6818" w:rsidRDefault="00CD6818">
            <w:pPr>
              <w:widowControl w:val="0"/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18">
        <w:trPr>
          <w:trHeight w:val="286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>
            <w:pPr>
              <w:widowControl w:val="0"/>
              <w:spacing w:after="160"/>
            </w:pP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Проведение  мероприятия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диагностике профессиональных дефицитов учителей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Изучение документов педагогов, наблюдение за практической деятельностью учителей, контрольные срезы, контроль ведения документации, анализ результатов деятельности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педагогов, собеседование, анкетирование, а также анализ практики внедрения ФГОС показывают, что суммарно затруднений, испытываемых учителями, достаточно много. Это сложности в области постановки целей и задач деятельности с учетом требований ФГОС, трудност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в области мотивации учебной деятельности школьников, недостаточная компетентность учителя в области обеспечения информационной деятельности, в области организации учебной деятельности и другие. Рассмотрение этих вопросов планируется на заседаниях ШМО и 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едсоветах в 202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/202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учебном году</w:t>
            </w:r>
          </w:p>
          <w:p w:rsidR="00CD6818" w:rsidRDefault="00CD681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CD6818">
        <w:tc>
          <w:tcPr>
            <w:tcW w:w="4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</w:pPr>
            <w:r>
              <w:t>3.</w:t>
            </w:r>
          </w:p>
        </w:tc>
        <w:tc>
          <w:tcPr>
            <w:tcW w:w="19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образования и организация учебно-воспитательного процесса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целостного мировоззрения, повышение мотивации учащихся к получению качественного образования, функциональной грамотности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текущем </w:t>
            </w:r>
            <w:r>
              <w:rPr>
                <w:rFonts w:ascii="Times New Roman" w:hAnsi="Times New Roman" w:cs="Times New Roman"/>
              </w:rPr>
              <w:t>году администрацией школы было посещено:</w:t>
            </w:r>
          </w:p>
          <w:p w:rsidR="00CD6818" w:rsidRDefault="00DF4BF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уроков- </w:t>
            </w:r>
            <w:r>
              <w:rPr>
                <w:rFonts w:ascii="Times New Roman" w:hAnsi="Times New Roman" w:cs="Times New Roman"/>
              </w:rPr>
              <w:t>121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D6818" w:rsidRDefault="00DF4BF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внеклассных мероприятий -20,</w:t>
            </w:r>
          </w:p>
          <w:p w:rsidR="00CD6818" w:rsidRDefault="00DF4BF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занятий дополнительного образования-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D6818" w:rsidRDefault="00DF4BF8">
            <w:pPr>
              <w:widowControl w:val="0"/>
              <w:spacing w:after="1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внеурочной деятельности-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проведению системного анализа результатов качества преподавания в разрезе </w:t>
            </w:r>
            <w:r>
              <w:rPr>
                <w:rFonts w:ascii="Times New Roman" w:hAnsi="Times New Roman" w:cs="Times New Roman"/>
              </w:rPr>
              <w:t>предмета, класса, создание ситуации успеха на уроках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Проверена работа учителей с рабочими тетрадями учащихся и тетрадями для контрольных работ:</w:t>
            </w:r>
          </w:p>
          <w:p w:rsidR="00CD6818" w:rsidRDefault="00DF4BF8">
            <w:pPr>
              <w:pStyle w:val="ac"/>
              <w:widowControl w:val="0"/>
              <w:spacing w:before="0" w:after="0" w:line="276" w:lineRule="auto"/>
              <w:jc w:val="both"/>
            </w:pPr>
            <w:r>
              <w:t xml:space="preserve">1.Справка № </w:t>
            </w:r>
            <w:r>
              <w:t>30</w:t>
            </w:r>
            <w:r>
              <w:t xml:space="preserve"> от </w:t>
            </w:r>
            <w:r>
              <w:t>30</w:t>
            </w:r>
            <w:r>
              <w:t>.12.20</w:t>
            </w:r>
            <w:r>
              <w:t>21</w:t>
            </w:r>
            <w:r>
              <w:t>г. «</w:t>
            </w:r>
            <w:proofErr w:type="gramStart"/>
            <w:r>
              <w:rPr>
                <w:bCs/>
              </w:rPr>
              <w:t>О  результатах</w:t>
            </w:r>
            <w:proofErr w:type="gramEnd"/>
            <w:r>
              <w:rPr>
                <w:bCs/>
              </w:rPr>
              <w:t xml:space="preserve"> проверки  тетрадей для контрольных работ   по математике учащихся</w:t>
            </w:r>
            <w:r>
              <w:rPr>
                <w:bCs/>
              </w:rPr>
              <w:t xml:space="preserve"> 5-11 классов</w:t>
            </w:r>
            <w:r>
              <w:t>»</w:t>
            </w:r>
          </w:p>
          <w:p w:rsidR="00CD6818" w:rsidRDefault="00DF4BF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2.Справка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результатах проверки   тетрадей для контрольных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  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русскому языку учащихся 5-11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6818" w:rsidRDefault="00DF4BF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.Справка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результатах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проверки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тетрадей по русскому языку и математике учащихся 2-4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6818" w:rsidRDefault="00DF4BF8">
            <w:pPr>
              <w:widowControl w:val="0"/>
              <w:tabs>
                <w:tab w:val="left" w:pos="40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.Справка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проверки тетрадей для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химии, физике, географии, биологии,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CD6818" w:rsidRDefault="00CD6818">
            <w:pPr>
              <w:widowControl w:val="0"/>
              <w:tabs>
                <w:tab w:val="left" w:pos="409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контрольных срезов знаний по предметам по итогам четверти (года) с целью установления уровня усвоения знаний.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проанализированы  входные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контрольные работы по русскому языку и математике в 2-11 классах  (приказ 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-о,4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-о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>
              <w:rPr>
                <w:rFonts w:ascii="Times New Roman" w:hAnsi="Times New Roman"/>
                <w:sz w:val="24"/>
                <w:szCs w:val="24"/>
              </w:rPr>
              <w:t>Проведены контрольные работы по математике - во 2-6 классах; по алгебре - в 7-8,10 классах; геометрии - в 7-8, 10 классах;</w:t>
            </w:r>
          </w:p>
          <w:p w:rsidR="00CD6818" w:rsidRDefault="00DF4BF8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русскому языку - во 2-8, 10 классах; географии-в 5-11 классах;</w:t>
            </w:r>
          </w:p>
          <w:p w:rsidR="00CD6818" w:rsidRDefault="00DF4BF8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окружающему миру- во 2-4 классах; химии – в 8-11 классах;</w:t>
            </w:r>
          </w:p>
          <w:p w:rsidR="00CD6818" w:rsidRDefault="00DF4B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биологии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5-11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классах;информатике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7-11 классах; физике в 7-11 классах; английскому языку во 2-11 классах; немецкому языку в 5-6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(приказы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 от 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 №497-о от 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 №498-о от 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 №499-о от 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оанализированы результаты работы школы (УУД за 1 полугодие,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-Приказы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Проведены и проанализированы пробные ЕГЭ, ОГЭ, итоговое сочинение в 11 классах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D6818" w:rsidRDefault="00CD68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индивидуальных планов по улучшению </w:t>
            </w:r>
            <w:r>
              <w:rPr>
                <w:rFonts w:ascii="Times New Roman" w:hAnsi="Times New Roman" w:cs="Times New Roman"/>
              </w:rPr>
              <w:t>качества обучения каждым педагогом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планы работы классных руководителей, учителей-предметников с неуспевающими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(по итогам  четвертей) </w:t>
            </w: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общешкольного родительского собрания «Обно</w:t>
            </w:r>
            <w:r>
              <w:rPr>
                <w:rFonts w:ascii="Times New Roman" w:hAnsi="Times New Roman" w:cs="Times New Roman"/>
              </w:rPr>
              <w:t>вление содержания образования»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Родительские собрания и индивидуальное информирование и консультирование обучающихся 9-х, 11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.,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их родителей (законных представителей) по вопросам образовательной деятельности ОУ проведены и проводятся 1раз в четверть.</w:t>
            </w: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дополнительных занятий с учащимися, имеющими спорные оценки по предмету, а также со слабоуспевающими.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Организована индивидуальная работа с учащимися со слабой мотивацией к обучению. Учителя </w:t>
            </w:r>
            <w:r>
              <w:rPr>
                <w:rFonts w:ascii="Times New Roman" w:hAnsi="Times New Roman" w:cs="Times New Roman"/>
              </w:rPr>
              <w:t>проводили</w:t>
            </w:r>
            <w:r>
              <w:rPr>
                <w:rFonts w:ascii="Times New Roman" w:hAnsi="Times New Roman" w:cs="Times New Roman"/>
              </w:rPr>
              <w:t xml:space="preserve"> заняти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по плану утвержденной форме с подпис</w:t>
            </w:r>
            <w:r>
              <w:rPr>
                <w:rFonts w:ascii="Times New Roman" w:hAnsi="Times New Roman" w:cs="Times New Roman"/>
              </w:rPr>
              <w:t>ями родителей.</w:t>
            </w: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кружковая деятельность по предметам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реализуемые в ОУ:</w:t>
            </w:r>
          </w:p>
          <w:p w:rsidR="00CD6818" w:rsidRDefault="00DF4BF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«Противодействие экстремизму и профилактике терроризма в школе».</w:t>
            </w:r>
          </w:p>
          <w:p w:rsidR="00CD6818" w:rsidRDefault="00DF4BF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«Профилактика безнадзорности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среди несовершеннолетних».</w:t>
            </w:r>
          </w:p>
          <w:p w:rsidR="00CD6818" w:rsidRDefault="00DF4BF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воспитательной работы «Школа успеха» (срок реализации 4 года 2017 – 2021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CD6818">
        <w:trPr>
          <w:trHeight w:val="306"/>
        </w:trPr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детей предметных олимпиадах, конкурсных программах (очно, заочно)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составлены и рассмотрены на ШМО планы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одарёнными  учащимися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CD6818" w:rsidRDefault="00DF4BF8">
            <w:pPr>
              <w:widowControl w:val="0"/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Организовано участие обучающихся в конкурсах:</w:t>
            </w:r>
          </w:p>
          <w:p w:rsidR="00CD6818" w:rsidRDefault="00CD6818">
            <w:pPr>
              <w:widowControl w:val="0"/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tbl>
            <w:tblPr>
              <w:tblW w:w="4755" w:type="dxa"/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795"/>
              <w:gridCol w:w="900"/>
            </w:tblGrid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tabs>
                      <w:tab w:val="left" w:pos="388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Всероссийская олимпиада по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литературе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CD6818" w:rsidRDefault="00DF4BF8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- муниципальный этап</w:t>
                  </w:r>
                </w:p>
                <w:p w:rsidR="00CD6818" w:rsidRDefault="00CD6818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CD681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D6818" w:rsidRDefault="00DF4B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призер;</w:t>
                  </w:r>
                </w:p>
                <w:p w:rsidR="00CD6818" w:rsidRDefault="00DF4B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CD6818">
              <w:trPr>
                <w:trHeight w:val="420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Конкурс «Шаг к Олимпу»</w:t>
                  </w:r>
                </w:p>
                <w:p w:rsidR="00CD6818" w:rsidRDefault="00DF4B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муниципальный этап;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Турнир юного физика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призеров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Вместе ярче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призер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TIME to RHYME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призера</w:t>
                  </w:r>
                </w:p>
              </w:tc>
            </w:tr>
            <w:tr w:rsidR="00CD6818">
              <w:trPr>
                <w:trHeight w:val="698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Musicfest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exfcnbt</w:t>
                  </w:r>
                  <w:proofErr w:type="spellEnd"/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«Крым в моем сердце»</w:t>
                  </w:r>
                </w:p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муниципальный этап;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11,3А,5К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побтели</w:t>
                  </w:r>
                  <w:proofErr w:type="spellEnd"/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«Базовые национальные ценности»</w:t>
                  </w:r>
                </w:p>
                <w:p w:rsidR="00CD6818" w:rsidRDefault="00CD681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CD681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CD681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муниципальный этап;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3А,9Б</w:t>
                  </w:r>
                </w:p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5К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Победители</w:t>
                  </w:r>
                </w:p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Призер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Класс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функциональной грамотности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А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участие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С компьютером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на ты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8А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участие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этап экологической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акции  «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Сохраним можжевельники Крыма»</w:t>
                  </w:r>
                </w:p>
                <w:p w:rsidR="00CD6818" w:rsidRDefault="00DF4BF8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в номинации «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Экорисунок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«Колючая красота Крыма»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призер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Муниципальный этап экологической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акции  «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Сохраним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можжевельники Крыма»</w:t>
                  </w:r>
                </w:p>
                <w:p w:rsidR="00CD6818" w:rsidRDefault="00DF4BF8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в номинации «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Экорисунок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«Колючая красота Крыма»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призер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этап Республиканского творческого конкурса по предметам искусства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«Шаг к Олимпу»</w:t>
                  </w:r>
                </w:p>
                <w:p w:rsidR="00CD6818" w:rsidRDefault="00DF4BF8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в номинации «Изобразительное искусство»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Победитель, Призер</w:t>
                  </w:r>
                </w:p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победитель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этап конкурса-защиты научно-исследовательских работ учащихся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МАН «Искатель»</w:t>
                  </w:r>
                </w:p>
                <w:p w:rsidR="00CD6818" w:rsidRDefault="00DF4BF8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Секция «Английский язык»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Муниципальный этап республиканского конкурса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«Крым в сердце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моем»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в номинации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«Крымская палитра»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6,10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Победитель, призер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Муниципальный этап Республиканского конкурса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«Я – против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коррупции»   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в номинации «Рисунок «Я –против коррупции»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8,10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CD681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призеры</w:t>
                  </w:r>
                </w:p>
              </w:tc>
            </w:tr>
            <w:tr w:rsidR="00CD6818">
              <w:trPr>
                <w:trHeight w:val="143"/>
              </w:trPr>
              <w:tc>
                <w:tcPr>
                  <w:tcW w:w="30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«Первооткрыватель», муниципальный уровень</w:t>
                  </w:r>
                </w:p>
              </w:tc>
              <w:tc>
                <w:tcPr>
                  <w:tcW w:w="7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818" w:rsidRDefault="00DF4BF8">
                  <w:pPr>
                    <w:widowControl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победитель</w:t>
                  </w:r>
                </w:p>
              </w:tc>
            </w:tr>
          </w:tbl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Школьники активно участвуют в онлайн-олимпиадах, играх, конкурсах, олимпиады и конкурсы сайта «Учи.ру».</w:t>
            </w:r>
          </w:p>
        </w:tc>
      </w:tr>
      <w:tr w:rsidR="00CD681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>
            <w:pPr>
              <w:widowControl w:val="0"/>
              <w:spacing w:after="160"/>
            </w:pP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уроков, проведения внеклассных </w:t>
            </w:r>
            <w:proofErr w:type="gramStart"/>
            <w:r>
              <w:rPr>
                <w:rFonts w:ascii="Times New Roman" w:hAnsi="Times New Roman" w:cs="Times New Roman"/>
              </w:rPr>
              <w:t>мероприятий,  публикации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методических разработок, </w:t>
            </w:r>
            <w:r>
              <w:rPr>
                <w:rFonts w:ascii="Times New Roman" w:hAnsi="Times New Roman" w:cs="Times New Roman"/>
              </w:rPr>
              <w:t>проведения методических недель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 утвержденному плану проведены предметные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недели,в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рамках которых проведены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интеллектуальные конкурсы, викторины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;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недели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ических школьных МО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и малоопытные учителя посещали уроки опытных учителей с целью повыше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педагогического мастерства Руководителями ШМО ведутся папки с анализами 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учителями-предметниками своих коллег.</w:t>
            </w:r>
          </w:p>
        </w:tc>
      </w:tr>
      <w:tr w:rsidR="00CD681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>
            <w:pPr>
              <w:widowControl w:val="0"/>
              <w:spacing w:after="160"/>
            </w:pP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анализ внутренних и внешних причин низких результатов, сформировать позицию педагогического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коллектива по </w:t>
            </w:r>
            <w:r>
              <w:rPr>
                <w:rFonts w:ascii="Times New Roman" w:hAnsi="Times New Roman" w:cs="Times New Roman"/>
              </w:rPr>
              <w:t>целеполаганию в вопросах повышения качества образования, определив реалистичные задачи и первоочередные мероприятия ближайшего развития;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Проанализированы итоги проведения итогового сочинения в 11 классе, итогового устного собеседования по русскому языку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классах. Проведены и проанализированы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пробные ЕГЭ, ОГЭ, итоговое сочинение в 9, 11 классах. Проведены психолого-педагогические консилиумы по 5-м,1-м,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педсовета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от 25.11.2021, №14 от 25.10.2021, №13 от 08.10.2021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сопровождение обучающихся по</w:t>
            </w:r>
          </w:p>
          <w:p w:rsidR="00CD6818" w:rsidRDefault="00DF4B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к ГИА. Ведутся по графику консультации, дополнительные занятия с детьми из «группы риска».</w:t>
            </w:r>
          </w:p>
        </w:tc>
      </w:tr>
      <w:tr w:rsidR="00CD6818">
        <w:tc>
          <w:tcPr>
            <w:tcW w:w="4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</w:pPr>
            <w:r>
              <w:lastRenderedPageBreak/>
              <w:t>4.</w:t>
            </w:r>
          </w:p>
        </w:tc>
        <w:tc>
          <w:tcPr>
            <w:tcW w:w="19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материально-технической базы учреждений образования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школьной инфраструктуры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питальный</w:t>
            </w:r>
            <w:r>
              <w:rPr>
                <w:rFonts w:ascii="Times New Roman" w:hAnsi="Times New Roman" w:cs="Times New Roman"/>
              </w:rPr>
              <w:t xml:space="preserve"> ремонт </w:t>
            </w:r>
            <w:proofErr w:type="gramStart"/>
            <w:r>
              <w:rPr>
                <w:rFonts w:ascii="Times New Roman" w:hAnsi="Times New Roman" w:cs="Times New Roman"/>
              </w:rPr>
              <w:t>столовой,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рамках реализации проекта «Точка роста» проведен текущий ремонт кабинет</w:t>
            </w:r>
            <w:r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физики, химии</w:t>
            </w:r>
            <w:r>
              <w:rPr>
                <w:rFonts w:ascii="Times New Roman" w:hAnsi="Times New Roman" w:cs="Times New Roman"/>
              </w:rPr>
              <w:t xml:space="preserve">. Продолжается работа по приведению в соответствии с </w:t>
            </w:r>
            <w:proofErr w:type="spellStart"/>
            <w:r>
              <w:rPr>
                <w:rFonts w:ascii="Times New Roman" w:hAnsi="Times New Roman" w:cs="Times New Roman"/>
              </w:rPr>
              <w:t>СанПи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освещенности классных кабинетов. </w:t>
            </w: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МТБ, технической </w:t>
            </w:r>
            <w:r>
              <w:rPr>
                <w:rFonts w:ascii="Times New Roman" w:hAnsi="Times New Roman" w:cs="Times New Roman"/>
              </w:rPr>
              <w:t>оснащённости УВП</w:t>
            </w:r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0" w:line="240" w:lineRule="auto"/>
              <w:ind w:firstLine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перспективного плана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продолжается работа по оборудованию    кабинетов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компьютерной техникой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 кабинет физики приобретен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оборудование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лаборатор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Закуплены учебные плакаты, карты и стенды для кабинетов истории,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обществознания, ОБЖ,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географии,  кабинетов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дополнительного образования.  Приобретены наушники и микрофоны для проведения промежуточной аттестации по английскому языку.</w:t>
            </w:r>
          </w:p>
          <w:p w:rsidR="00CD6818" w:rsidRDefault="00CD6818">
            <w:pPr>
              <w:widowControl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818">
        <w:tc>
          <w:tcPr>
            <w:tcW w:w="4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19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CD6818"/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показателя доступности учащихся школы к образовательным </w:t>
            </w:r>
            <w:proofErr w:type="spellStart"/>
            <w:r>
              <w:rPr>
                <w:rFonts w:ascii="Times New Roman" w:hAnsi="Times New Roman" w:cs="Times New Roman"/>
              </w:rPr>
              <w:t>интернет-ресурсам</w:t>
            </w:r>
            <w:proofErr w:type="spellEnd"/>
          </w:p>
        </w:tc>
        <w:tc>
          <w:tcPr>
            <w:tcW w:w="5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818" w:rsidRDefault="00DF4BF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более качественной подготовки к учебным занятиям, подготовки к ГИА и различного рода испытаниям в читальном зале библиотеки установлены компьютеры и проведен Интернет с контент-фильтрацией. Для учителей есть доступ к </w:t>
            </w:r>
            <w:r>
              <w:rPr>
                <w:rFonts w:ascii="Times New Roman" w:hAnsi="Times New Roman" w:cs="Times New Roman"/>
                <w:lang w:val="en-US"/>
              </w:rPr>
              <w:t>WI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</w:t>
            </w:r>
            <w:r>
              <w:rPr>
                <w:rFonts w:ascii="Times New Roman" w:hAnsi="Times New Roman" w:cs="Times New Roman"/>
              </w:rPr>
              <w:t xml:space="preserve"> в учительской и классных каб</w:t>
            </w:r>
            <w:r>
              <w:rPr>
                <w:rFonts w:ascii="Times New Roman" w:hAnsi="Times New Roman" w:cs="Times New Roman"/>
              </w:rPr>
              <w:t xml:space="preserve">инетах. </w:t>
            </w:r>
          </w:p>
        </w:tc>
      </w:tr>
    </w:tbl>
    <w:p w:rsidR="00CD6818" w:rsidRDefault="00DF4BF8">
      <w:pPr>
        <w:pStyle w:val="a9"/>
        <w:shd w:val="clear" w:color="auto" w:fill="FFFFFF"/>
        <w:spacing w:after="12" w:line="240" w:lineRule="auto"/>
        <w:ind w:left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Выделены дополнительные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часы  в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плане на 2021/2022 учебный годы для усиления изучения предметов «Русский язык» и «Математика», «Обществознание», «Биология»: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изучения русского языка выделено дополнительно 2 часа, введены факультативы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Практическое обществознание» в 10 классе, «Математика вокруг нас» в 5-А, 5-Б классах, «Занимательная биология» 9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,9-Б классах за счет часов внеурочной деятельности.</w:t>
      </w:r>
    </w:p>
    <w:p w:rsidR="00CD6818" w:rsidRDefault="00DF4BF8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государственной (итоговой) аттестации в прошлом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 допущено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100 % от общего количеств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выпускников школы. </w:t>
      </w:r>
    </w:p>
    <w:p w:rsidR="00CD6818" w:rsidRDefault="00DF4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2020/2021 учебном году обучающиеся сдавали ЕГЭ по выбору.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  приняли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в  ЕГЭ  8 выпускников.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итогам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ЕГЭ школа имеет следующие результаты: </w:t>
      </w:r>
    </w:p>
    <w:p w:rsidR="00CD6818" w:rsidRDefault="00CD6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818" w:rsidRDefault="00CD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9251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1620"/>
        <w:gridCol w:w="1665"/>
        <w:gridCol w:w="1037"/>
        <w:gridCol w:w="866"/>
        <w:gridCol w:w="266"/>
        <w:gridCol w:w="1149"/>
        <w:gridCol w:w="255"/>
        <w:gridCol w:w="1325"/>
        <w:gridCol w:w="95"/>
        <w:gridCol w:w="1968"/>
        <w:gridCol w:w="236"/>
        <w:gridCol w:w="2578"/>
        <w:gridCol w:w="662"/>
        <w:gridCol w:w="456"/>
        <w:gridCol w:w="458"/>
        <w:gridCol w:w="458"/>
        <w:gridCol w:w="458"/>
        <w:gridCol w:w="662"/>
        <w:gridCol w:w="458"/>
        <w:gridCol w:w="457"/>
        <w:gridCol w:w="458"/>
        <w:gridCol w:w="662"/>
        <w:gridCol w:w="1002"/>
      </w:tblGrid>
      <w:tr w:rsidR="00CD6818">
        <w:tc>
          <w:tcPr>
            <w:tcW w:w="10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Средний балл ЕГЭ выпускников 11 класса (2019/2020 учебный год)</w:t>
            </w:r>
          </w:p>
        </w:tc>
        <w:tc>
          <w:tcPr>
            <w:tcW w:w="2601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58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59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1009" w:type="dxa"/>
          </w:tcPr>
          <w:p w:rsidR="00CD6818" w:rsidRDefault="00CD6818">
            <w:pPr>
              <w:widowControl w:val="0"/>
            </w:pPr>
          </w:p>
        </w:tc>
      </w:tr>
      <w:tr w:rsidR="00CD6818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математика профильная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история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физика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обществознание</w:t>
            </w:r>
          </w:p>
        </w:tc>
        <w:tc>
          <w:tcPr>
            <w:tcW w:w="2601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58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59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1009" w:type="dxa"/>
          </w:tcPr>
          <w:p w:rsidR="00CD6818" w:rsidRDefault="00CD6818">
            <w:pPr>
              <w:widowControl w:val="0"/>
            </w:pPr>
          </w:p>
        </w:tc>
      </w:tr>
      <w:tr w:rsidR="00CD6818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601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58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59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1009" w:type="dxa"/>
          </w:tcPr>
          <w:p w:rsidR="00CD6818" w:rsidRDefault="00CD6818">
            <w:pPr>
              <w:widowControl w:val="0"/>
            </w:pPr>
          </w:p>
        </w:tc>
      </w:tr>
      <w:tr w:rsidR="00CD6818">
        <w:trPr>
          <w:trHeight w:val="375"/>
        </w:trPr>
        <w:tc>
          <w:tcPr>
            <w:tcW w:w="13027" w:type="dxa"/>
            <w:gridSpan w:val="12"/>
            <w:vAlign w:val="center"/>
          </w:tcPr>
          <w:p w:rsidR="00CD6818" w:rsidRDefault="00CD681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CD6818" w:rsidRDefault="00CD681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818">
        <w:tc>
          <w:tcPr>
            <w:tcW w:w="103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Средний балл ЕГЭ выпускников 11 класса (2020/2021 учебный год)</w:t>
            </w:r>
          </w:p>
        </w:tc>
        <w:tc>
          <w:tcPr>
            <w:tcW w:w="96" w:type="dxa"/>
          </w:tcPr>
          <w:p w:rsidR="00CD6818" w:rsidRDefault="00CD6818">
            <w:pPr>
              <w:widowControl w:val="0"/>
            </w:pPr>
          </w:p>
        </w:tc>
        <w:tc>
          <w:tcPr>
            <w:tcW w:w="2601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58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59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1009" w:type="dxa"/>
          </w:tcPr>
          <w:p w:rsidR="00CD6818" w:rsidRDefault="00CD6818">
            <w:pPr>
              <w:widowControl w:val="0"/>
            </w:pPr>
          </w:p>
        </w:tc>
      </w:tr>
      <w:tr w:rsidR="00CD6818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математика профильная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история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физика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информатика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обществознание</w:t>
            </w:r>
          </w:p>
        </w:tc>
        <w:tc>
          <w:tcPr>
            <w:tcW w:w="96" w:type="dxa"/>
          </w:tcPr>
          <w:p w:rsidR="00CD6818" w:rsidRDefault="00CD6818">
            <w:pPr>
              <w:widowControl w:val="0"/>
            </w:pPr>
          </w:p>
        </w:tc>
        <w:tc>
          <w:tcPr>
            <w:tcW w:w="2601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58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59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1009" w:type="dxa"/>
          </w:tcPr>
          <w:p w:rsidR="00CD6818" w:rsidRDefault="00CD6818">
            <w:pPr>
              <w:widowControl w:val="0"/>
            </w:pPr>
          </w:p>
        </w:tc>
      </w:tr>
      <w:tr w:rsidR="00CD6818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18" w:rsidRDefault="00DF4BF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6" w:type="dxa"/>
          </w:tcPr>
          <w:p w:rsidR="00CD6818" w:rsidRDefault="00CD6818">
            <w:pPr>
              <w:widowControl w:val="0"/>
            </w:pPr>
          </w:p>
        </w:tc>
        <w:tc>
          <w:tcPr>
            <w:tcW w:w="2601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58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459" w:type="dxa"/>
          </w:tcPr>
          <w:p w:rsidR="00CD6818" w:rsidRDefault="00CD6818">
            <w:pPr>
              <w:widowControl w:val="0"/>
            </w:pPr>
          </w:p>
        </w:tc>
        <w:tc>
          <w:tcPr>
            <w:tcW w:w="460" w:type="dxa"/>
          </w:tcPr>
          <w:p w:rsidR="00CD6818" w:rsidRDefault="00CD6818">
            <w:pPr>
              <w:widowControl w:val="0"/>
            </w:pPr>
          </w:p>
        </w:tc>
        <w:tc>
          <w:tcPr>
            <w:tcW w:w="666" w:type="dxa"/>
          </w:tcPr>
          <w:p w:rsidR="00CD6818" w:rsidRDefault="00CD6818">
            <w:pPr>
              <w:widowControl w:val="0"/>
            </w:pPr>
          </w:p>
        </w:tc>
        <w:tc>
          <w:tcPr>
            <w:tcW w:w="1009" w:type="dxa"/>
          </w:tcPr>
          <w:p w:rsidR="00CD6818" w:rsidRDefault="00CD6818">
            <w:pPr>
              <w:widowControl w:val="0"/>
            </w:pPr>
          </w:p>
        </w:tc>
      </w:tr>
    </w:tbl>
    <w:p w:rsidR="00CD6818" w:rsidRDefault="00CD681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818" w:rsidRDefault="00DF4BF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ЕГЭ проанализированы в приказе от 24.06.2021 № 256-о «Об итогах ЕГЭ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заслушаны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заседаниях методических объединений (протокол от 30.08.2021  № 8). </w:t>
      </w:r>
      <w:r>
        <w:rPr>
          <w:rFonts w:ascii="Times New Roman" w:hAnsi="Times New Roman" w:cs="Times New Roman"/>
          <w:sz w:val="24"/>
          <w:szCs w:val="24"/>
        </w:rPr>
        <w:t xml:space="preserve">Разработан план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подготовке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к ГИА-2022.</w:t>
      </w:r>
    </w:p>
    <w:p w:rsidR="00CD6818" w:rsidRDefault="00CD681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818" w:rsidRDefault="00DF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 результатам итогового сочинения прошлого года учащиеся не получили зачет по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критерию  №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(«Грамотность»).</w:t>
      </w:r>
    </w:p>
    <w:p w:rsidR="00CD6818" w:rsidRDefault="00DF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продемонстрировали низкий уровень практической грамотности по следующим </w:t>
      </w:r>
      <w:r>
        <w:rPr>
          <w:rFonts w:ascii="Times New Roman" w:hAnsi="Times New Roman" w:cs="Times New Roman"/>
          <w:sz w:val="24"/>
          <w:szCs w:val="24"/>
        </w:rPr>
        <w:t>причинам:</w:t>
      </w:r>
    </w:p>
    <w:p w:rsidR="00CD6818" w:rsidRDefault="00DF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1.Высокая степень значимости работы и связанные с этим переживания.</w:t>
      </w:r>
    </w:p>
    <w:p w:rsidR="00CD6818" w:rsidRDefault="00DF4BF8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2.Н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едостаточный  уровень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самоконтроля в письменной речи  у обучающихся.</w:t>
      </w:r>
    </w:p>
    <w:p w:rsidR="00CD6818" w:rsidRDefault="00DF4BF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Недостаточно сформированы навыки грамматически верного построения высказывания.</w:t>
      </w:r>
    </w:p>
    <w:p w:rsidR="00CD6818" w:rsidRDefault="00DF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4.Допущены речевые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недочеты.</w:t>
      </w:r>
    </w:p>
    <w:p w:rsidR="00CD6818" w:rsidRDefault="00DF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Большое количество орфографических и пунктуационных ошибок.</w:t>
      </w:r>
    </w:p>
    <w:p w:rsidR="00CD6818" w:rsidRDefault="00DF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 /Гребенюк Л.Н.</w:t>
      </w:r>
      <w:proofErr w:type="gramStart"/>
      <w:r>
        <w:rPr>
          <w:rFonts w:ascii="Times New Roman" w:hAnsi="Times New Roman" w:cs="Times New Roman"/>
          <w:sz w:val="24"/>
          <w:szCs w:val="24"/>
        </w:rPr>
        <w:t>/  была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проведена следующая работа      по подготовке учащихся к ИС:</w:t>
      </w:r>
    </w:p>
    <w:p w:rsidR="00CD6818" w:rsidRDefault="00DF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1.Проведение индивидуальных консультаций по подготовке к ЕГЭ (в том числе к ИС).</w:t>
      </w:r>
    </w:p>
    <w:p w:rsidR="00CD6818" w:rsidRDefault="00DF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2.Просмотр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проводимых ЦДЮТ.</w:t>
      </w:r>
    </w:p>
    <w:p w:rsidR="00CD6818" w:rsidRDefault="00DF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3.Написание сочинений в формате ИС с последующим анализом типичных ошибок, выполнением работы над ошибками.</w:t>
      </w:r>
    </w:p>
    <w:p w:rsidR="00CD6818" w:rsidRDefault="00DF4BF8">
      <w:pPr>
        <w:shd w:val="clear" w:color="auto" w:fill="FFFFFF"/>
        <w:tabs>
          <w:tab w:val="left" w:pos="4395"/>
        </w:tabs>
        <w:spacing w:after="13" w:line="240" w:lineRule="auto"/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01.12.2022 было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проведено  итоговое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сочинение. В написании сочинения приняло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участие 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8</w:t>
      </w:r>
      <w:proofErr w:type="gramEnd"/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Зачёт по критерию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(«Грамотность») получили 4 учащихся (50 %).</w:t>
      </w:r>
    </w:p>
    <w:p w:rsidR="00CD6818" w:rsidRDefault="00DF4BF8">
      <w:pPr>
        <w:tabs>
          <w:tab w:val="left" w:pos="439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Пробный ЕГЭ по русскому языку:</w:t>
      </w:r>
    </w:p>
    <w:tbl>
      <w:tblPr>
        <w:tblW w:w="957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2395"/>
        <w:gridCol w:w="2395"/>
      </w:tblGrid>
      <w:tr w:rsidR="00CD6818">
        <w:trPr>
          <w:trHeight w:val="575"/>
        </w:trPr>
        <w:tc>
          <w:tcPr>
            <w:tcW w:w="2394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394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2395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уровень</w:t>
            </w:r>
          </w:p>
        </w:tc>
        <w:tc>
          <w:tcPr>
            <w:tcW w:w="2395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Неудовл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CD6818">
        <w:trPr>
          <w:trHeight w:val="562"/>
        </w:trPr>
        <w:tc>
          <w:tcPr>
            <w:tcW w:w="2394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2021 (приказ №475-о от 03.12.2021)</w:t>
            </w:r>
          </w:p>
        </w:tc>
        <w:tc>
          <w:tcPr>
            <w:tcW w:w="2394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6818">
        <w:trPr>
          <w:trHeight w:val="562"/>
        </w:trPr>
        <w:tc>
          <w:tcPr>
            <w:tcW w:w="2394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2022 (приказ №123-о от 07.04.2022)</w:t>
            </w:r>
          </w:p>
        </w:tc>
        <w:tc>
          <w:tcPr>
            <w:tcW w:w="2394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CD6818" w:rsidRDefault="00DF4BF8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D6818" w:rsidRDefault="00CD6818">
      <w:pPr>
        <w:shd w:val="clear" w:color="auto" w:fill="FFFFFF"/>
        <w:spacing w:after="13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D6818" w:rsidRDefault="00DF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>
        <w:rPr>
          <w:rFonts w:ascii="Times New Roman" w:hAnsi="Times New Roman" w:cs="Times New Roman"/>
          <w:sz w:val="24"/>
          <w:szCs w:val="24"/>
        </w:rPr>
        <w:t>результаты ЕГЭ были приняты следующие решения:</w:t>
      </w:r>
    </w:p>
    <w:p w:rsidR="00CD6818" w:rsidRDefault="00DF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1.Выделены часы внеурочной деятельности для подготовки к ГИА.</w:t>
      </w:r>
    </w:p>
    <w:p w:rsidR="00CD6818" w:rsidRDefault="00DF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3.Ведутся индивидуальные консультации по предметам на ГИА в 2022 году.</w:t>
      </w:r>
    </w:p>
    <w:p w:rsidR="00CD6818" w:rsidRDefault="00DF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4.Запланированы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проведены  пробные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ЕГЭ, ОГЭ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дкекабре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и в апреле </w:t>
      </w:r>
      <w:r>
        <w:rPr>
          <w:rFonts w:ascii="Times New Roman" w:hAnsi="Times New Roman" w:cs="Times New Roman"/>
          <w:sz w:val="24"/>
          <w:szCs w:val="24"/>
        </w:rPr>
        <w:t>2022 года.</w:t>
      </w:r>
    </w:p>
    <w:p w:rsidR="00CD6818" w:rsidRDefault="00DF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5.Проведено пробное итоговое сочинение в 11 классе. </w:t>
      </w:r>
    </w:p>
    <w:p w:rsidR="00CD6818" w:rsidRDefault="00DF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6.Составлен план повышения качества образования.</w:t>
      </w:r>
    </w:p>
    <w:p w:rsidR="00CD6818" w:rsidRDefault="00DF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7..</w:t>
      </w:r>
      <w:proofErr w:type="gramEnd"/>
      <w:r>
        <w:rPr>
          <w:rFonts w:ascii="Times New Roman" w:hAnsi="Times New Roman" w:cs="Times New Roman"/>
          <w:sz w:val="24"/>
          <w:szCs w:val="24"/>
        </w:rPr>
        <w:t>Учителями-предметниками составлены планы работы со слабоуспевающими учащимися.</w:t>
      </w:r>
    </w:p>
    <w:p w:rsidR="00CD6818" w:rsidRDefault="00DF4B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Администрацией ведется мониторинг по объективности выставлен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ия оценок учителями-предметниками (посещение уроков, проверка тетрадей для контрольных работ, рабочих тетрадей, взаимопроверки); на постоянном контроле выполнение 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uk-UA"/>
        </w:rPr>
        <w:t xml:space="preserve">Дорожной </w:t>
      </w:r>
      <w:proofErr w:type="gramStart"/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uk-UA"/>
        </w:rPr>
        <w:t>карты  МБОУ</w:t>
      </w:r>
      <w:proofErr w:type="gramEnd"/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uk-UA"/>
        </w:rPr>
        <w:t>Маленская</w:t>
      </w:r>
      <w:proofErr w:type="spellEnd"/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uk-UA"/>
        </w:rPr>
        <w:t xml:space="preserve"> школа» по программе «Перевод общеобразовательных организаций 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uk-UA"/>
        </w:rPr>
        <w:t>Симферопольского района, показывающих низкие образовательные результаты, в эффективный режим функционирования» на 2019-2024 годы».</w:t>
      </w:r>
    </w:p>
    <w:p w:rsidR="00CD6818" w:rsidRDefault="00CD6818">
      <w:pPr>
        <w:shd w:val="clear" w:color="auto" w:fill="FFFFFF"/>
        <w:spacing w:after="13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D6818" w:rsidRDefault="00DF4BF8">
      <w:pPr>
        <w:shd w:val="clear" w:color="auto" w:fill="FFFFFF"/>
        <w:spacing w:after="13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С.Н.Хрыкина</w:t>
      </w:r>
      <w:proofErr w:type="spellEnd"/>
    </w:p>
    <w:sectPr w:rsidR="00CD6818">
      <w:pgSz w:w="11906" w:h="16838"/>
      <w:pgMar w:top="1134" w:right="850" w:bottom="7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andex-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CD8"/>
    <w:multiLevelType w:val="multilevel"/>
    <w:tmpl w:val="42F03CBC"/>
    <w:lvl w:ilvl="0">
      <w:start w:val="1"/>
      <w:numFmt w:val="decimal"/>
      <w:lvlText w:val="%1"/>
      <w:lvlJc w:val="left"/>
      <w:pPr>
        <w:tabs>
          <w:tab w:val="num" w:pos="0"/>
        </w:tabs>
        <w:ind w:left="69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12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32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52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572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292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12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32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52" w:hanging="180"/>
      </w:pPr>
    </w:lvl>
  </w:abstractNum>
  <w:abstractNum w:abstractNumId="1" w15:restartNumberingAfterBreak="0">
    <w:nsid w:val="2D874250"/>
    <w:multiLevelType w:val="multilevel"/>
    <w:tmpl w:val="8A8EE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18"/>
    <w:rsid w:val="00CD6818"/>
    <w:rsid w:val="00D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09E6E-78B7-4CAB-BCDD-25D80454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Pr>
      <w:rFonts w:ascii="Calibri" w:eastAsia="SimSun" w:hAnsi="Calibri" w:cs="Calibri"/>
      <w:lang w:eastAsia="ar-SA"/>
    </w:rPr>
  </w:style>
  <w:style w:type="character" w:customStyle="1" w:styleId="-">
    <w:name w:val="Интернет-ссылка"/>
    <w:basedOn w:val="a0"/>
    <w:rPr>
      <w:rFonts w:ascii="Times New Roman" w:hAnsi="Times New Roman" w:cs="Times New Roman"/>
      <w:color w:val="0000FF"/>
      <w:u w:val="single"/>
    </w:rPr>
  </w:style>
  <w:style w:type="character" w:customStyle="1" w:styleId="2">
    <w:name w:val="Основной текст (2)_"/>
    <w:qFormat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20"/>
    </w:pPr>
    <w:rPr>
      <w:rFonts w:eastAsia="SimSun" w:cs="Calibri"/>
      <w:lang w:eastAsia="ar-SA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20">
    <w:name w:val="Основной текст (2)"/>
    <w:basedOn w:val="a"/>
    <w:qFormat/>
    <w:pPr>
      <w:widowControl w:val="0"/>
      <w:shd w:val="clear" w:color="auto" w:fill="FFFFFF"/>
      <w:spacing w:after="300" w:line="322" w:lineRule="exact"/>
      <w:jc w:val="both"/>
    </w:pPr>
    <w:rPr>
      <w:sz w:val="28"/>
      <w:szCs w:val="28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/?mailto=mailto%3Aschool_simferopolskiy-rayon15@crimeaed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Лаврушкина</cp:lastModifiedBy>
  <cp:revision>2</cp:revision>
  <cp:lastPrinted>2022-04-27T07:47:00Z</cp:lastPrinted>
  <dcterms:created xsi:type="dcterms:W3CDTF">2022-04-28T08:07:00Z</dcterms:created>
  <dcterms:modified xsi:type="dcterms:W3CDTF">2022-04-28T08:07:00Z</dcterms:modified>
  <dc:language>ru-RU</dc:language>
</cp:coreProperties>
</file>