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735" w:rsidRPr="00FD2B12" w:rsidRDefault="00D55735" w:rsidP="00D55735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FD2B12">
        <w:rPr>
          <w:rFonts w:ascii="Times New Roman" w:eastAsia="Calibri" w:hAnsi="Times New Roman" w:cs="Times New Roman"/>
          <w:b/>
          <w:lang w:eastAsia="ru-RU"/>
        </w:rPr>
        <w:t>Муниципальное бюджетное общеобразовательное   учреждение «Тепловская школа» Симферопольского района Республики Крым</w:t>
      </w:r>
    </w:p>
    <w:p w:rsidR="00D55735" w:rsidRPr="00FD2B12" w:rsidRDefault="00D55735" w:rsidP="00D55735">
      <w:pPr>
        <w:keepNext/>
        <w:keepLines/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lang w:val="uk-UA" w:eastAsia="ru-RU"/>
        </w:rPr>
      </w:pPr>
      <w:r w:rsidRPr="00FD2B12">
        <w:rPr>
          <w:rFonts w:ascii="Times New Roman" w:eastAsia="Calibri" w:hAnsi="Times New Roman" w:cs="Times New Roman"/>
          <w:lang w:eastAsia="ru-RU"/>
        </w:rPr>
        <w:t>ул. Заречная, д. 2, с. Тепловка, Симферопольский район</w:t>
      </w:r>
      <w:r w:rsidRPr="00FD2B12">
        <w:rPr>
          <w:rFonts w:ascii="Times New Roman" w:eastAsia="Calibri" w:hAnsi="Times New Roman" w:cs="Times New Roman"/>
          <w:lang w:val="uk-UA" w:eastAsia="ru-RU"/>
        </w:rPr>
        <w:t>, РК, 297548, тел./факс 0(652) 33-77-14,</w:t>
      </w:r>
    </w:p>
    <w:p w:rsidR="00D55735" w:rsidRPr="00FD2B12" w:rsidRDefault="00D55735" w:rsidP="00D55735">
      <w:pPr>
        <w:keepNext/>
        <w:keepLines/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FD2B12">
        <w:rPr>
          <w:rFonts w:ascii="Times New Roman" w:eastAsia="Calibri" w:hAnsi="Times New Roman" w:cs="Times New Roman"/>
          <w:lang w:val="uk-UA" w:eastAsia="ru-RU"/>
        </w:rPr>
        <w:t>е</w:t>
      </w:r>
      <w:r w:rsidRPr="00FD2B12">
        <w:rPr>
          <w:rFonts w:ascii="Times New Roman" w:eastAsia="Calibri" w:hAnsi="Times New Roman" w:cs="Times New Roman"/>
          <w:lang w:eastAsia="ru-RU"/>
        </w:rPr>
        <w:t>-</w:t>
      </w:r>
      <w:r w:rsidRPr="00FD2B12">
        <w:rPr>
          <w:rFonts w:ascii="Times New Roman" w:eastAsia="Calibri" w:hAnsi="Times New Roman" w:cs="Times New Roman"/>
          <w:lang w:val="en-US" w:eastAsia="ru-RU"/>
        </w:rPr>
        <w:t>m</w:t>
      </w:r>
      <w:proofErr w:type="spellStart"/>
      <w:r w:rsidRPr="00FD2B12">
        <w:rPr>
          <w:rFonts w:ascii="Times New Roman" w:eastAsia="Calibri" w:hAnsi="Times New Roman" w:cs="Times New Roman"/>
          <w:lang w:val="uk-UA" w:eastAsia="ru-RU"/>
        </w:rPr>
        <w:t>аі</w:t>
      </w:r>
      <w:proofErr w:type="spellEnd"/>
      <w:r w:rsidRPr="00FD2B12">
        <w:rPr>
          <w:rFonts w:ascii="Times New Roman" w:eastAsia="Calibri" w:hAnsi="Times New Roman" w:cs="Times New Roman"/>
          <w:lang w:val="en-US" w:eastAsia="ru-RU"/>
        </w:rPr>
        <w:t>l</w:t>
      </w:r>
      <w:r w:rsidRPr="00FD2B12">
        <w:rPr>
          <w:rFonts w:ascii="Times New Roman" w:eastAsia="Calibri" w:hAnsi="Times New Roman" w:cs="Times New Roman"/>
          <w:lang w:val="uk-UA" w:eastAsia="ru-RU"/>
        </w:rPr>
        <w:t xml:space="preserve">: </w:t>
      </w:r>
      <w:hyperlink r:id="rId5" w:history="1">
        <w:r w:rsidRPr="00FD2B12">
          <w:rPr>
            <w:rFonts w:ascii="Times New Roman" w:eastAsia="Calibri" w:hAnsi="Times New Roman" w:cs="Times New Roman"/>
            <w:color w:val="0563C1" w:themeColor="hyperlink"/>
            <w:u w:val="single"/>
            <w:lang w:val="en-US" w:eastAsia="ru-RU"/>
          </w:rPr>
          <w:t>school</w:t>
        </w:r>
        <w:r w:rsidRPr="00FD2B12">
          <w:rPr>
            <w:rFonts w:ascii="Times New Roman" w:eastAsia="Calibri" w:hAnsi="Times New Roman" w:cs="Times New Roman"/>
            <w:color w:val="0563C1" w:themeColor="hyperlink"/>
            <w:u w:val="single"/>
            <w:lang w:eastAsia="ru-RU"/>
          </w:rPr>
          <w:t>_</w:t>
        </w:r>
        <w:r w:rsidRPr="00FD2B12">
          <w:rPr>
            <w:rFonts w:ascii="Times New Roman" w:eastAsia="Calibri" w:hAnsi="Times New Roman" w:cs="Times New Roman"/>
            <w:color w:val="0563C1" w:themeColor="hyperlink"/>
            <w:u w:val="single"/>
            <w:lang w:val="en-US" w:eastAsia="ru-RU"/>
          </w:rPr>
          <w:t>simferopolsiy</w:t>
        </w:r>
        <w:r w:rsidRPr="00FD2B12">
          <w:rPr>
            <w:rFonts w:ascii="Times New Roman" w:eastAsia="Calibri" w:hAnsi="Times New Roman" w:cs="Times New Roman"/>
            <w:color w:val="0563C1" w:themeColor="hyperlink"/>
            <w:u w:val="single"/>
            <w:lang w:eastAsia="ru-RU"/>
          </w:rPr>
          <w:t>-</w:t>
        </w:r>
        <w:r w:rsidRPr="00FD2B12">
          <w:rPr>
            <w:rFonts w:ascii="Times New Roman" w:eastAsia="Calibri" w:hAnsi="Times New Roman" w:cs="Times New Roman"/>
            <w:color w:val="0563C1" w:themeColor="hyperlink"/>
            <w:u w:val="single"/>
            <w:lang w:val="en-US" w:eastAsia="ru-RU"/>
          </w:rPr>
          <w:t>rayon</w:t>
        </w:r>
        <w:r w:rsidRPr="00FD2B12">
          <w:rPr>
            <w:rFonts w:ascii="Times New Roman" w:eastAsia="Calibri" w:hAnsi="Times New Roman" w:cs="Times New Roman"/>
            <w:color w:val="0563C1" w:themeColor="hyperlink"/>
            <w:u w:val="single"/>
            <w:lang w:eastAsia="ru-RU"/>
          </w:rPr>
          <w:t>30@</w:t>
        </w:r>
        <w:r w:rsidRPr="00FD2B12">
          <w:rPr>
            <w:rFonts w:ascii="Times New Roman" w:eastAsia="Calibri" w:hAnsi="Times New Roman" w:cs="Times New Roman"/>
            <w:color w:val="0563C1" w:themeColor="hyperlink"/>
            <w:u w:val="single"/>
            <w:lang w:val="en-US" w:eastAsia="ru-RU"/>
          </w:rPr>
          <w:t>crimeaedu</w:t>
        </w:r>
        <w:r w:rsidRPr="00FD2B12">
          <w:rPr>
            <w:rFonts w:ascii="Times New Roman" w:eastAsia="Calibri" w:hAnsi="Times New Roman" w:cs="Times New Roman"/>
            <w:color w:val="0563C1" w:themeColor="hyperlink"/>
            <w:u w:val="single"/>
            <w:lang w:eastAsia="ru-RU"/>
          </w:rPr>
          <w:t>.</w:t>
        </w:r>
        <w:r w:rsidRPr="00FD2B12">
          <w:rPr>
            <w:rFonts w:ascii="Times New Roman" w:eastAsia="Calibri" w:hAnsi="Times New Roman" w:cs="Times New Roman"/>
            <w:color w:val="0563C1" w:themeColor="hyperlink"/>
            <w:u w:val="single"/>
            <w:lang w:val="en-US" w:eastAsia="ru-RU"/>
          </w:rPr>
          <w:t>ru</w:t>
        </w:r>
      </w:hyperlink>
      <w:r w:rsidRPr="00FD2B12">
        <w:rPr>
          <w:rFonts w:ascii="Times New Roman" w:eastAsia="Calibri" w:hAnsi="Times New Roman" w:cs="Times New Roman"/>
          <w:u w:val="single"/>
          <w:lang w:eastAsia="ru-RU"/>
        </w:rPr>
        <w:t xml:space="preserve"> </w:t>
      </w:r>
      <w:r w:rsidRPr="00FD2B12">
        <w:rPr>
          <w:rFonts w:ascii="Times New Roman" w:eastAsia="Calibri" w:hAnsi="Times New Roman" w:cs="Times New Roman"/>
          <w:lang w:eastAsia="ru-RU"/>
        </w:rPr>
        <w:t>ОГРН 1159102022760  ИНН 9109009618</w:t>
      </w:r>
    </w:p>
    <w:p w:rsidR="00D55735" w:rsidRDefault="00D55735" w:rsidP="00D55735">
      <w:pPr>
        <w:spacing w:after="0" w:line="240" w:lineRule="auto"/>
        <w:jc w:val="center"/>
        <w:rPr>
          <w:rFonts w:ascii="Times New Roman" w:eastAsia="Calibri" w:hAnsi="Times New Roman" w:cs="Times New Roman"/>
          <w:lang w:val="uk-UA" w:eastAsia="ru-RU"/>
        </w:rPr>
      </w:pPr>
      <w:r w:rsidRPr="00FD2B12">
        <w:rPr>
          <w:rFonts w:ascii="Times New Roman" w:eastAsia="Calibri" w:hAnsi="Times New Roman" w:cs="Times New Roman"/>
          <w:lang w:val="uk-UA" w:eastAsia="ru-RU"/>
        </w:rPr>
        <w:t>____________________________________________________________________________________</w:t>
      </w:r>
    </w:p>
    <w:p w:rsidR="00D55735" w:rsidRDefault="00D55735" w:rsidP="00D55735">
      <w:pPr>
        <w:jc w:val="center"/>
        <w:rPr>
          <w:b/>
        </w:rPr>
      </w:pP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Формирование естественнонаучной грамотности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 xml:space="preserve">на уроках географии финансовой грамотности, </w:t>
      </w:r>
      <w:proofErr w:type="spellStart"/>
      <w:r w:rsidRPr="00D55735">
        <w:rPr>
          <w:rFonts w:ascii="Times New Roman" w:hAnsi="Times New Roman" w:cs="Times New Roman"/>
          <w:sz w:val="24"/>
          <w:szCs w:val="24"/>
        </w:rPr>
        <w:t>крымоведении</w:t>
      </w:r>
      <w:proofErr w:type="spellEnd"/>
      <w:r w:rsidRPr="00D55735">
        <w:rPr>
          <w:rFonts w:ascii="Times New Roman" w:hAnsi="Times New Roman" w:cs="Times New Roman"/>
          <w:sz w:val="24"/>
          <w:szCs w:val="24"/>
        </w:rPr>
        <w:t xml:space="preserve"> и внеурочной деятельности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Естественнонаучная грамотность - это один из аспектов функциональной грамотности.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Финан</w:t>
      </w:r>
      <w:r w:rsidR="00DC71D1">
        <w:rPr>
          <w:rFonts w:ascii="Times New Roman" w:hAnsi="Times New Roman" w:cs="Times New Roman"/>
          <w:sz w:val="24"/>
          <w:szCs w:val="24"/>
        </w:rPr>
        <w:t>сов</w:t>
      </w:r>
      <w:r w:rsidRPr="00D55735">
        <w:rPr>
          <w:rFonts w:ascii="Times New Roman" w:hAnsi="Times New Roman" w:cs="Times New Roman"/>
          <w:sz w:val="24"/>
          <w:szCs w:val="24"/>
        </w:rPr>
        <w:t xml:space="preserve">ая грамотность - способность человека вступать в отношение с внешней средой и максимально быстро адаптироваться и функционировать в ней. Этот термин отражает </w:t>
      </w:r>
      <w:proofErr w:type="spellStart"/>
      <w:r w:rsidRPr="00D55735">
        <w:rPr>
          <w:rFonts w:ascii="Times New Roman" w:hAnsi="Times New Roman" w:cs="Times New Roman"/>
          <w:sz w:val="24"/>
          <w:szCs w:val="24"/>
        </w:rPr>
        <w:t>общеучебную</w:t>
      </w:r>
      <w:proofErr w:type="spellEnd"/>
      <w:r w:rsidRPr="00D55735">
        <w:rPr>
          <w:rFonts w:ascii="Times New Roman" w:hAnsi="Times New Roman" w:cs="Times New Roman"/>
          <w:sz w:val="24"/>
          <w:szCs w:val="24"/>
        </w:rPr>
        <w:t xml:space="preserve"> компетенцию, что на современном этапе обеспечивается за счет внедрения Федерального образовательного стандарта (далее ФГОС) всех ступеней образования.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Наше время – это время перемен. Меняется все – обычаи и традиции, ценности и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приоритеты. Меняются и требования, предъявляемые к выпускникам современной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школы. Сейчас недостаточно научить ученика выполнять определенные алгоритмы,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решать типовые задания, действовать в соответствии с заранее построенной моделью.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Перед современным учителем стоят иные задачи: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Организовать деятельность учащихся по развитию качеств, относящихся к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ф</w:t>
      </w:r>
      <w:r w:rsidR="00DC71D1">
        <w:rPr>
          <w:rFonts w:ascii="Times New Roman" w:hAnsi="Times New Roman" w:cs="Times New Roman"/>
          <w:sz w:val="24"/>
          <w:szCs w:val="24"/>
        </w:rPr>
        <w:t>и</w:t>
      </w:r>
      <w:r w:rsidRPr="00D55735">
        <w:rPr>
          <w:rFonts w:ascii="Times New Roman" w:hAnsi="Times New Roman" w:cs="Times New Roman"/>
          <w:sz w:val="24"/>
          <w:szCs w:val="24"/>
        </w:rPr>
        <w:t>на</w:t>
      </w:r>
      <w:r w:rsidR="00DC71D1">
        <w:rPr>
          <w:rFonts w:ascii="Times New Roman" w:hAnsi="Times New Roman" w:cs="Times New Roman"/>
          <w:sz w:val="24"/>
          <w:szCs w:val="24"/>
        </w:rPr>
        <w:t>нсов</w:t>
      </w:r>
      <w:r w:rsidRPr="00D55735">
        <w:rPr>
          <w:rFonts w:ascii="Times New Roman" w:hAnsi="Times New Roman" w:cs="Times New Roman"/>
          <w:sz w:val="24"/>
          <w:szCs w:val="24"/>
        </w:rPr>
        <w:t xml:space="preserve">ой грамотности, формированию </w:t>
      </w:r>
      <w:proofErr w:type="gramStart"/>
      <w:r w:rsidRPr="00D55735">
        <w:rPr>
          <w:rFonts w:ascii="Times New Roman" w:hAnsi="Times New Roman" w:cs="Times New Roman"/>
          <w:sz w:val="24"/>
          <w:szCs w:val="24"/>
        </w:rPr>
        <w:t>практико-ориентированных</w:t>
      </w:r>
      <w:proofErr w:type="gramEnd"/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знаний и умений.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Научить школьников думать, обосновывать и доказывать свои решения, не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прибегать к механическому заучиванию материала.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Развивать способность говорить «нет», когда все говорят «да», если понимаешь,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что большинство не обязательно право.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Все эти умения необходимо развивать на уроках, в том числе и на уроках географии.</w:t>
      </w:r>
    </w:p>
    <w:p w:rsidR="00D55735" w:rsidRPr="00D55735" w:rsidRDefault="00DC71D1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финансов</w:t>
      </w:r>
      <w:r w:rsidR="00D55735" w:rsidRPr="00D55735">
        <w:rPr>
          <w:rFonts w:ascii="Times New Roman" w:hAnsi="Times New Roman" w:cs="Times New Roman"/>
          <w:sz w:val="24"/>
          <w:szCs w:val="24"/>
        </w:rPr>
        <w:t>ой грамотности учащихся – одна из основных задач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 xml:space="preserve">современного образования. Уровень </w:t>
      </w:r>
      <w:proofErr w:type="spellStart"/>
      <w:r w:rsidRPr="00D5573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55735">
        <w:rPr>
          <w:rFonts w:ascii="Times New Roman" w:hAnsi="Times New Roman" w:cs="Times New Roman"/>
          <w:sz w:val="24"/>
          <w:szCs w:val="24"/>
        </w:rPr>
        <w:t xml:space="preserve"> </w:t>
      </w:r>
      <w:r w:rsidR="00DC71D1">
        <w:rPr>
          <w:rFonts w:ascii="Times New Roman" w:hAnsi="Times New Roman" w:cs="Times New Roman"/>
          <w:sz w:val="24"/>
          <w:szCs w:val="24"/>
        </w:rPr>
        <w:t>финансов</w:t>
      </w:r>
      <w:r w:rsidR="00DC71D1" w:rsidRPr="00D55735">
        <w:rPr>
          <w:rFonts w:ascii="Times New Roman" w:hAnsi="Times New Roman" w:cs="Times New Roman"/>
          <w:sz w:val="24"/>
          <w:szCs w:val="24"/>
        </w:rPr>
        <w:t>ой</w:t>
      </w:r>
      <w:r w:rsidRPr="00D55735">
        <w:rPr>
          <w:rFonts w:ascii="Times New Roman" w:hAnsi="Times New Roman" w:cs="Times New Roman"/>
          <w:sz w:val="24"/>
          <w:szCs w:val="24"/>
        </w:rPr>
        <w:t xml:space="preserve"> грамотности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– показатель качества образования в масштабах от школьного до государственного.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 xml:space="preserve">Обсуждение вопросов формирования </w:t>
      </w:r>
      <w:r w:rsidR="00DC71D1">
        <w:rPr>
          <w:rFonts w:ascii="Times New Roman" w:hAnsi="Times New Roman" w:cs="Times New Roman"/>
          <w:sz w:val="24"/>
          <w:szCs w:val="24"/>
        </w:rPr>
        <w:t>финансов</w:t>
      </w:r>
      <w:r w:rsidR="00DC71D1" w:rsidRPr="00D55735">
        <w:rPr>
          <w:rFonts w:ascii="Times New Roman" w:hAnsi="Times New Roman" w:cs="Times New Roman"/>
          <w:sz w:val="24"/>
          <w:szCs w:val="24"/>
        </w:rPr>
        <w:t>ой</w:t>
      </w:r>
      <w:r w:rsidRPr="00D55735">
        <w:rPr>
          <w:rFonts w:ascii="Times New Roman" w:hAnsi="Times New Roman" w:cs="Times New Roman"/>
          <w:sz w:val="24"/>
          <w:szCs w:val="24"/>
        </w:rPr>
        <w:t xml:space="preserve"> грамотности лидирует </w:t>
      </w:r>
      <w:proofErr w:type="gramStart"/>
      <w:r w:rsidRPr="00D5573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тематике методических мероприятий разного уровня.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 xml:space="preserve">Одним из видов </w:t>
      </w:r>
      <w:r w:rsidR="00DC71D1">
        <w:rPr>
          <w:rFonts w:ascii="Times New Roman" w:hAnsi="Times New Roman" w:cs="Times New Roman"/>
          <w:sz w:val="24"/>
          <w:szCs w:val="24"/>
        </w:rPr>
        <w:t>финансов</w:t>
      </w:r>
      <w:r w:rsidR="00DC71D1" w:rsidRPr="00D55735">
        <w:rPr>
          <w:rFonts w:ascii="Times New Roman" w:hAnsi="Times New Roman" w:cs="Times New Roman"/>
          <w:sz w:val="24"/>
          <w:szCs w:val="24"/>
        </w:rPr>
        <w:t>ой</w:t>
      </w:r>
      <w:r w:rsidRPr="00D55735">
        <w:rPr>
          <w:rFonts w:ascii="Times New Roman" w:hAnsi="Times New Roman" w:cs="Times New Roman"/>
          <w:sz w:val="24"/>
          <w:szCs w:val="24"/>
        </w:rPr>
        <w:t xml:space="preserve"> грамотности, которую будут оценивать в рамках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внешней оценки учебных достижений учащихся, это естественнонаучная грамотность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(физика, химия, биология, география).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Под естественно-научной грамотностью (ЕНГ) понимают «способность человека занимать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активную гражданскую позицию по общественно значимым вопросам, связанным с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развитием естественных наук и применением их достижений, его готовность интересоваться естественнонаучными идеями. Естественнонаучно грамотный человек стремится участвовать в аргументированном обсуждении проблем, имеющим отношение к естественным наукам и технологиям.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Человек, обладающий естественнонаучной грамотностью, должен проявлять следующие компетенции: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− научно объяснять явления;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− понимать особенности естественнонаучного исследования;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− научно интерпретировать данные и использовать доказательства для получения выводов.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Для формирования/оценки естественнонаучной грамотности используются тематические блоки, которые включают описание реальной ситуации, и задания, связанные с этой ситуацией.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Задания, как правило, основаны на проблемном материале, включающем текст, графики, таблицы и связанные с ними вопросы.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i/>
          <w:iCs/>
          <w:sz w:val="24"/>
          <w:szCs w:val="24"/>
        </w:rPr>
        <w:t>Каждое из заданий характеризуется следующими признаками: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lastRenderedPageBreak/>
        <w:t>Компетентность, на оценивание которой направлено задание (как правило, умение, составляющее данную компетентность);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Тип естественнонаучного знания, затрагиваемый в задании (т.е. те знания из биологии, физики, химии или физической географии, которые необходимы для выполнения задания);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Контекст (т.е. характеристика жизненной ситуации, использующейся в задании);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Познавательный уровень (или степень трудности) задания.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Данная проблема вызвала у меня большой интерес.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Я стала изучать опыт других учителей по формированию естественнонаучной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грамотности на уроках, включать задания на разных этапах урока на географии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Вот уже на протяжении года на уроках географии включаю задания на развитие естественнонаучной грамотности. За это время сложилась система работы по данному направлению. Формирование естественнонаучной грамотности начинается с 5 класса.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Степень сложности заданий возрастает с каждым классом и в старших классах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учащимся не сложно показывать умения, приобретённые за годы обучения, то есть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выйти на более высокий уровень.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В 8-9 классах задания на формирование естественнонаучной грамотности более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серьезные и требуют уже более научного подхода. Главной компетентной областью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оценки в них является научное объяснение явлений, учащиеся делают и обосновывают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прогнозы о протекании процессов или явлений.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Использование заданий на формирование естественнонаучной грамотности на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уроках географии очень эффективно, в дальнейшем позволит учащимся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обосновывать и доказывать свои решения и применять знания в реальной жизни.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Модуль № 1 «На формирование знания учебного материала».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i/>
          <w:iCs/>
          <w:sz w:val="24"/>
          <w:szCs w:val="24"/>
        </w:rPr>
        <w:t>Задание № 1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Задания выполняются после прочтения предложенного ниже текста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i/>
          <w:iCs/>
          <w:sz w:val="24"/>
          <w:szCs w:val="24"/>
        </w:rPr>
        <w:t>«В переводе с монгольского «Гоби» -значит покрытая камнями равнина. А китайцы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i/>
          <w:iCs/>
          <w:sz w:val="24"/>
          <w:szCs w:val="24"/>
        </w:rPr>
        <w:t>называли эту пустыню – бескрайнее море. Гоби – крупнейшая пустыня Азии, пятая в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i/>
          <w:iCs/>
          <w:sz w:val="24"/>
          <w:szCs w:val="24"/>
        </w:rPr>
        <w:t>мире по площади территории. Она охватывает север Китая и юг Монголии. Гоби –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i/>
          <w:iCs/>
          <w:sz w:val="24"/>
          <w:szCs w:val="24"/>
        </w:rPr>
        <w:t>одна из наиболее заметных пустынь в истории – она была частью великих империй, по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i/>
          <w:iCs/>
          <w:sz w:val="24"/>
          <w:szCs w:val="24"/>
        </w:rPr>
        <w:t>её территории пролегала караванная дорога, связывающая Восточную Азию и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i/>
          <w:iCs/>
          <w:sz w:val="24"/>
          <w:szCs w:val="24"/>
        </w:rPr>
        <w:t>Средиземноморье – Великий шёлковый путь».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1.Какой метод географического исследования представлен в данном тексте?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2.О какой пустыне мира идёт речь в тексте?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3.На территории каких современных государств расположена эта пустыня?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4. Что такое Великий шёлковый путь?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Задание можно использовать на разных этапах урока начиная с 5 класса при изучении методов географии, материков Земли)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Уровень сложности задания: низкий, такие задания можно давать учащимся с низкой мотивацией обучения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i/>
          <w:iCs/>
          <w:sz w:val="24"/>
          <w:szCs w:val="24"/>
        </w:rPr>
        <w:t>Задание 2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i/>
          <w:iCs/>
          <w:sz w:val="24"/>
          <w:szCs w:val="24"/>
        </w:rPr>
        <w:t>Река — естественный значительный и непрерывный водный поток, питающийся поверхностным или подземным стоком с площадей своих бассейнов и текущий в разработанном им русле. Речная вода находится в непрерывном движении. В реках она полностью обновляется примерно каждые 19 дней (в озерах в среднем через 17 лет, в болотах — 5, в ледниках — 9700 лет). И это очень важно, так как именно реки играют главнейшую роль в круговороте воды на Земле, перенося тепло солнца, мелкие твердые частицы и растворенные в воде химические вещества. Большинство рек выходят из берегов один или два раза в год. Чем сильнее половодье, тем реже его повторяемость.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 xml:space="preserve">Прочитайте текст, в котором пропущены некоторые географические термины. Выберите из пронумерованного списка термины, которые необходимо вставить на место пропусков, </w:t>
      </w:r>
      <w:r w:rsidRPr="00D55735">
        <w:rPr>
          <w:rFonts w:ascii="Times New Roman" w:hAnsi="Times New Roman" w:cs="Times New Roman"/>
          <w:sz w:val="24"/>
          <w:szCs w:val="24"/>
        </w:rPr>
        <w:lastRenderedPageBreak/>
        <w:t>обозначенных буквами А — В. Вставьте на места пропусков термины из списка (в нужном падеже и числе).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Река — естественный значительный и непрерывный водный поток, питающийся поверхностным или подземным стоком с площадей своих ________________(А) и текущий в разработанном им ________________(Б). Большинство рек выходят из берегов один или два раза в год. Чем сильнее ________________(В), тем реже его повторяемость.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Список терминов: 1) бассейн 2) течение 3) исток 4) половодье 5) русло 6) межень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Летом Андрей и Витя путешествовали на трёх реках. Они заметили, что все эти реки имеют разную скорость течения. Например, одна из рек была горная, и у неё было самое быстрое течение, а другая река неторопливо текла по равнине. «А почему у всех рек есть течение, и вода в ней движется в каком-то одном направлении?» – задумались ребята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2. Каковы основные причины течения реки? Выберите два варианта ответа.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А) Притяжение Земли В) Притяжение Луны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С) Разница между температурами воздуха в верховьях и низовьях реки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D) Рельеф местности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Русло реки может где-то сужаться, а где-то расширяться. Например, русло может сузиться там, где река течёт между скалистыми берегами. Обычно при сужении русла у реки ускоряется течение.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3. Почему при сужении русла у реки обычно ускоряется течение?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Запишите своё объяснение.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Модуль №2: «Интерпретировать научную информацию»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i/>
          <w:iCs/>
          <w:sz w:val="24"/>
          <w:szCs w:val="24"/>
        </w:rPr>
        <w:t>Задание № 1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Андрей и Витя заинтересовались, от чего зависит скорость течения реки. Они прочитали, что каждую реку можно описывать с помощью графика, который называется профилем реки (см. рисунок).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77350" cy="3952875"/>
            <wp:effectExtent l="0" t="0" r="0" b="9525"/>
            <wp:docPr id="2" name="Рисунок 2" descr="https://www.prodlenka.org/components/com_mtree/attachments/525/525020/63d81e3f9bce56278239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rodlenka.org/components/com_mtree/attachments/525/525020/63d81e3f9bce562782390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По горизонтальной оси графика откладывается длина реки, а по вертикальной оси – высота местности, по которой течёт река.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Ниже в одном и том же масштабе показаны профили трёх рек, на которых побывали ребята.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77350" cy="2314575"/>
            <wp:effectExtent l="0" t="0" r="0" b="9525"/>
            <wp:docPr id="1" name="Рисунок 1" descr="https://www.prodlenka.org/components/com_mtree/attachments/525/525020/63d81e3f9c0e32585047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prodlenka.org/components/com_mtree/attachments/525/525020/63d81e3f9c0e325850478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Впишите в таблицу обозначения профилей эти трёх рек в порядке возрастания средней скорости течения реки.</w:t>
      </w:r>
    </w:p>
    <w:tbl>
      <w:tblPr>
        <w:tblW w:w="86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90"/>
        <w:gridCol w:w="2875"/>
        <w:gridCol w:w="2890"/>
      </w:tblGrid>
      <w:tr w:rsidR="00D55735" w:rsidRPr="00D55735" w:rsidTr="00D5573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55735" w:rsidRPr="00D55735" w:rsidRDefault="00D55735" w:rsidP="00D55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55735" w:rsidRPr="00D55735" w:rsidRDefault="00D55735" w:rsidP="00D55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55735" w:rsidRPr="00D55735" w:rsidRDefault="00D55735" w:rsidP="00D55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Самое медленное течение Самое быстрое течение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i/>
          <w:iCs/>
          <w:sz w:val="24"/>
          <w:szCs w:val="24"/>
        </w:rPr>
        <w:t>Задание № 2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Задание включаю в уроки географии в 8 классе при изучении тем, связанных с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природопользованием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Прочитайте текст и ответьте на вопросы.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i/>
          <w:iCs/>
          <w:sz w:val="24"/>
          <w:szCs w:val="24"/>
        </w:rPr>
        <w:t>Природопользование представляет собой систему взаимоотношений человека с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i/>
          <w:iCs/>
          <w:sz w:val="24"/>
          <w:szCs w:val="24"/>
        </w:rPr>
        <w:t>природой. Составными частями природопользования являются: изучение, освоение,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i/>
          <w:iCs/>
          <w:sz w:val="24"/>
          <w:szCs w:val="24"/>
        </w:rPr>
        <w:t>преобразование и охрана природной среды.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i/>
          <w:iCs/>
          <w:sz w:val="24"/>
          <w:szCs w:val="24"/>
        </w:rPr>
        <w:t>Природопользование может быть рациональным и нерациональным. Рациональное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i/>
          <w:iCs/>
          <w:sz w:val="24"/>
          <w:szCs w:val="24"/>
        </w:rPr>
        <w:t>природопользование является разумным и не допускает снижения продуктивности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i/>
          <w:iCs/>
          <w:sz w:val="24"/>
          <w:szCs w:val="24"/>
        </w:rPr>
        <w:t>природной среды. Нерациональное - это потребительское отношение к природе, то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i/>
          <w:iCs/>
          <w:sz w:val="24"/>
          <w:szCs w:val="24"/>
        </w:rPr>
        <w:t>есть стремление получить от нее как можно больше любыми способами, что приводит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i/>
          <w:iCs/>
          <w:sz w:val="24"/>
          <w:szCs w:val="24"/>
        </w:rPr>
        <w:t>к истощению природных ресурсов и загрязнению природной среды. При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i/>
          <w:iCs/>
          <w:sz w:val="24"/>
          <w:szCs w:val="24"/>
        </w:rPr>
        <w:t>нерациональном природопользовании возникают две проблемы: ресурсная, связанная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i/>
          <w:iCs/>
          <w:sz w:val="24"/>
          <w:szCs w:val="24"/>
        </w:rPr>
        <w:t>с истощением природных ресурсов и экологическая, связанная с ухудшением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i/>
          <w:iCs/>
          <w:sz w:val="24"/>
          <w:szCs w:val="24"/>
        </w:rPr>
        <w:t>(загрязнением) среды жизни. Экологические проблемы связаны как с ростом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i/>
          <w:iCs/>
          <w:sz w:val="24"/>
          <w:szCs w:val="24"/>
        </w:rPr>
        <w:t>численности населения и беспрецедентным увеличением масштабов производства, так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i/>
          <w:iCs/>
          <w:sz w:val="24"/>
          <w:szCs w:val="24"/>
        </w:rPr>
        <w:t>и несовершенством технологических процессов, а часто и с экологической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i/>
          <w:iCs/>
          <w:sz w:val="24"/>
          <w:szCs w:val="24"/>
        </w:rPr>
        <w:t>безграмотностью.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i/>
          <w:iCs/>
          <w:sz w:val="24"/>
          <w:szCs w:val="24"/>
        </w:rPr>
        <w:t>Поэтому необходимо не только изучать пути вовлечения природных ресурсов в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i/>
          <w:iCs/>
          <w:sz w:val="24"/>
          <w:szCs w:val="24"/>
        </w:rPr>
        <w:t>хозяйственную деятельность человека, но и находить пути и разрабатывать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i/>
          <w:iCs/>
          <w:sz w:val="24"/>
          <w:szCs w:val="24"/>
        </w:rPr>
        <w:t>мероприятия по восстановлению, преобразованию и охране естественных ресурсов и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i/>
          <w:iCs/>
          <w:sz w:val="24"/>
          <w:szCs w:val="24"/>
        </w:rPr>
        <w:t>природной среды.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Вопрос 1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Какие виды деятельности относятся к рациональному природопользованию?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Обведите «да» или «нет» для каждого утверждения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А) Создание заповедных территорий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Б) Повторное применение отходов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В) Вырубка лесов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Г) Образование культурных ландшафтов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Вопрос 2 к тексту Природопользование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Как вторичное использование сырья решает проблему истощения ресурсов и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загрязнения окружающей среды?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Напишите ответ.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Модуль № 3«На развитие внимания».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Задание можно включать в у</w:t>
      </w:r>
      <w:bookmarkStart w:id="0" w:name="_GoBack"/>
      <w:bookmarkEnd w:id="0"/>
      <w:r w:rsidRPr="00D55735">
        <w:rPr>
          <w:rFonts w:ascii="Times New Roman" w:hAnsi="Times New Roman" w:cs="Times New Roman"/>
          <w:sz w:val="24"/>
          <w:szCs w:val="24"/>
        </w:rPr>
        <w:t>роки географии как в 7, так и в 8 классе при изучении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lastRenderedPageBreak/>
        <w:t>тем, связанных со строением земной коры.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i/>
          <w:iCs/>
          <w:sz w:val="24"/>
          <w:szCs w:val="24"/>
        </w:rPr>
        <w:t>Задание №1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Прочитайте сообщение информационного агентства и ответьте на вопросы: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12 сентября 2007 г. у берегов Индонезии в точке с координатами З</w:t>
      </w:r>
      <w:proofErr w:type="gramStart"/>
      <w:r w:rsidRPr="00D55735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Pr="00D5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735">
        <w:rPr>
          <w:rFonts w:ascii="Times New Roman" w:hAnsi="Times New Roman" w:cs="Times New Roman"/>
          <w:sz w:val="24"/>
          <w:szCs w:val="24"/>
        </w:rPr>
        <w:t>с.ш</w:t>
      </w:r>
      <w:proofErr w:type="spellEnd"/>
      <w:r w:rsidRPr="00D55735">
        <w:rPr>
          <w:rFonts w:ascii="Times New Roman" w:hAnsi="Times New Roman" w:cs="Times New Roman"/>
          <w:sz w:val="24"/>
          <w:szCs w:val="24"/>
        </w:rPr>
        <w:t>.. 98° в.д.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произошло землетрясение силой 8,4 балла по шкале Рихтера, за которым последовала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серия повторных подземных толчков. В результате стихии погибли, по меньшей мере,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17 человек. Трехметровая волна обрушилась на рыбацкий поселок на острове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Суматра, волна разрушила сотни жилых домов, пострадали около 90 человек.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Вопрос 1. Как называется волна, разрушившая поселок?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Вопрос 2. Карту, какого из материков необходимо выбрать для того, чтобы подробнее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изучить место стихийного бедствия?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1) Африки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2) Евразии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3) Северной Америки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4) Южной Америки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Вопрос 3. На дне, какого океана произошло землетрясение?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Вопрос 4. Объясните, почему в этом районе часто происходят землетрясения.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Вопрос 5. Где в России происходят тектонические процессы, подобные тем, которые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вызывают землетрясения у берегов Суматры?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1) Кавказ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2) Прибайкалье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3) Урал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4) Курильские острова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i/>
          <w:iCs/>
          <w:sz w:val="24"/>
          <w:szCs w:val="24"/>
        </w:rPr>
        <w:t>Задание № 2 . «Васюганские болота»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Васюганские болота — одни из самых больших болот на Земле, расположены в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Западной Сибири, в междуречье Оби и Иртыша, на территории Васюганской равнины,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находящейся большей частью в пределах Томской области, и малыми частями —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Новосибирской и Омской областей и Ханты-Мансийского АО.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Васюганские болота располагаются в местах, где мелколиственные леса переходят в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южную тайгу. Площадь этого болота является наибольшей в мире и составляет около 53–55тыс. кв. км, что превышает размеры таких европейских стран, как Швейцария, Дания или Эстония. Размеры болота в длину составляют приблизительно 570 на 320 км, оно поистине огромно. Это приблизительно два процента от суммарной площади всех торфяных болот на Земле.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Васюганские болота образовались около десяти тысяч лет назад и с тех времен их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 xml:space="preserve">территория постоянно возрастала. Простираются они примерно на 570 км с запада на восток и больше чем на 300 км с севера на </w:t>
      </w:r>
      <w:proofErr w:type="spellStart"/>
      <w:r w:rsidRPr="00D55735">
        <w:rPr>
          <w:rFonts w:ascii="Times New Roman" w:hAnsi="Times New Roman" w:cs="Times New Roman"/>
          <w:sz w:val="24"/>
          <w:szCs w:val="24"/>
        </w:rPr>
        <w:t>юг.тОсобенно</w:t>
      </w:r>
      <w:proofErr w:type="spellEnd"/>
      <w:r w:rsidRPr="00D55735">
        <w:rPr>
          <w:rFonts w:ascii="Times New Roman" w:hAnsi="Times New Roman" w:cs="Times New Roman"/>
          <w:sz w:val="24"/>
          <w:szCs w:val="24"/>
        </w:rPr>
        <w:t xml:space="preserve"> быстро заболачивание местности происходит в последнее время, так, только за последние пятьсот лет территория, занимаемая болотами, увеличилась примерно на 75%. В теплый период года Васюганские болота почти полностью непроходимы для какой-либо техники. Перемещение геологических партий и грузовые перевозки на разрабатывающиеся нефтяные месторождения осуществляются только зимой.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(По материалам https://wikiway.com/russia/vasyuganskie-bolota/)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На основе данных в тексте ответьте на вопросы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1. На территории каких субъектов Федерации располагаются васюганские болота?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2. Какова площадь Васюганских болот? Размеры каких европейских стран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превышают болота?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3. Подсчитайте суммарную площадь всех торфяных болот.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4. Каков возраст Васюганских болот? Изменяется ли территория?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5. В какое время года осуществляется разработка месторождений нефти на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территории Васюганских болот? Объясните почему?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i/>
          <w:iCs/>
          <w:sz w:val="24"/>
          <w:szCs w:val="24"/>
        </w:rPr>
        <w:t>Результат участия российских школьников в исследованиях PISA говорят о том, что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i/>
          <w:iCs/>
          <w:sz w:val="24"/>
          <w:szCs w:val="24"/>
        </w:rPr>
        <w:lastRenderedPageBreak/>
        <w:t>российское образование не направлено на применение знаний в реальной жизни.</w:t>
      </w:r>
    </w:p>
    <w:p w:rsidR="00D55735" w:rsidRDefault="00D55735" w:rsidP="00D55735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D55735">
        <w:rPr>
          <w:rFonts w:ascii="Times New Roman" w:hAnsi="Times New Roman" w:cs="Times New Roman"/>
          <w:i/>
          <w:iCs/>
          <w:sz w:val="24"/>
          <w:szCs w:val="24"/>
        </w:rPr>
        <w:t>Учащиеся учатся, получают знания, но не умеют их применять.</w:t>
      </w:r>
    </w:p>
    <w:p w:rsidR="00DC71D1" w:rsidRPr="00D55735" w:rsidRDefault="00DC71D1" w:rsidP="00D557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Список использованной литературы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1. Международная оценка образовательных достижений учащихся (PISA).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Примеры заданий по естествознанию // Центр оценки качества образования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ИСМО РАО. 2007. 115 с. 2. Основные результаты международного исследования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PISA</w:t>
      </w:r>
    </w:p>
    <w:p w:rsidR="00D55735" w:rsidRP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2. Практико-ориентированные задания – средство развития естественнонаучной</w:t>
      </w:r>
    </w:p>
    <w:p w:rsidR="00D55735" w:rsidRDefault="00D55735" w:rsidP="00D557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5735" w:rsidRPr="00D55735" w:rsidRDefault="00D55735" w:rsidP="00D55735"/>
    <w:p w:rsidR="00D55735" w:rsidRPr="00D55735" w:rsidRDefault="00D55735" w:rsidP="00D55735"/>
    <w:p w:rsidR="00BD56F2" w:rsidRDefault="00D55735" w:rsidP="00D55735">
      <w:pPr>
        <w:jc w:val="right"/>
        <w:rPr>
          <w:rFonts w:ascii="Times New Roman" w:hAnsi="Times New Roman" w:cs="Times New Roman"/>
          <w:sz w:val="24"/>
          <w:szCs w:val="24"/>
        </w:rPr>
      </w:pPr>
      <w:r w:rsidRPr="00D55735">
        <w:rPr>
          <w:rFonts w:ascii="Times New Roman" w:hAnsi="Times New Roman" w:cs="Times New Roman"/>
          <w:sz w:val="24"/>
          <w:szCs w:val="24"/>
        </w:rPr>
        <w:t>Учитель географии Торба В.А.</w:t>
      </w:r>
    </w:p>
    <w:p w:rsidR="00DC71D1" w:rsidRPr="00D55735" w:rsidRDefault="00DC71D1" w:rsidP="00D5573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«Тепловская школа».</w:t>
      </w:r>
    </w:p>
    <w:p w:rsidR="00D55735" w:rsidRPr="00D55735" w:rsidRDefault="00D55735" w:rsidP="00D55735">
      <w:pPr>
        <w:jc w:val="right"/>
      </w:pPr>
    </w:p>
    <w:sectPr w:rsidR="00D55735" w:rsidRPr="00D55735" w:rsidSect="003B2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56651"/>
    <w:multiLevelType w:val="multilevel"/>
    <w:tmpl w:val="FA204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3A7710"/>
    <w:multiLevelType w:val="multilevel"/>
    <w:tmpl w:val="E79CF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C541BF"/>
    <w:multiLevelType w:val="multilevel"/>
    <w:tmpl w:val="FD568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E06703"/>
    <w:multiLevelType w:val="multilevel"/>
    <w:tmpl w:val="53CA0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275A29"/>
    <w:multiLevelType w:val="multilevel"/>
    <w:tmpl w:val="3C0C0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735"/>
    <w:rsid w:val="003B291C"/>
    <w:rsid w:val="00BD56F2"/>
    <w:rsid w:val="00D55735"/>
    <w:rsid w:val="00DC7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573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C7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1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8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219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55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80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70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78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51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school_simferopolsiy-rayon30@crimeaedu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2087</Words>
  <Characters>11897</Characters>
  <Application>Microsoft Office Word</Application>
  <DocSecurity>0</DocSecurity>
  <Lines>99</Lines>
  <Paragraphs>27</Paragraphs>
  <ScaleCrop>false</ScaleCrop>
  <Company/>
  <LinksUpToDate>false</LinksUpToDate>
  <CharactersWithSpaces>13957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Ира</cp:lastModifiedBy>
  <cp:revision>4</cp:revision>
  <dcterms:created xsi:type="dcterms:W3CDTF">2023-12-07T10:36:00Z</dcterms:created>
  <dcterms:modified xsi:type="dcterms:W3CDTF">2023-12-11T13:11:00Z</dcterms:modified>
</cp:coreProperties>
</file>