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38A" w:rsidRDefault="008E438A"/>
    <w:p w:rsidR="00A33064" w:rsidRPr="00A33064" w:rsidRDefault="00A33064" w:rsidP="00A33064">
      <w:pPr>
        <w:jc w:val="center"/>
        <w:rPr>
          <w:b/>
          <w:sz w:val="28"/>
        </w:rPr>
      </w:pPr>
      <w:r w:rsidRPr="00A33064">
        <w:rPr>
          <w:b/>
          <w:sz w:val="28"/>
        </w:rPr>
        <w:t>Планируемые изменения в КИМ ЕГЭ 2022 года</w:t>
      </w:r>
    </w:p>
    <w:p w:rsidR="001363D8" w:rsidRPr="001363D8" w:rsidRDefault="001363D8" w:rsidP="001363D8">
      <w:pPr>
        <w:rPr>
          <w:b/>
          <w:sz w:val="28"/>
        </w:rPr>
      </w:pPr>
      <w:r w:rsidRPr="001363D8">
        <w:rPr>
          <w:b/>
          <w:sz w:val="28"/>
        </w:rPr>
        <w:t>Русский язык</w:t>
      </w:r>
    </w:p>
    <w:p w:rsidR="001363D8" w:rsidRDefault="001363D8" w:rsidP="001363D8">
      <w:r>
        <w:t>Все основные характеристики экзаменационной работы сохранены. В работу</w:t>
      </w:r>
      <w:r>
        <w:t xml:space="preserve"> </w:t>
      </w:r>
      <w:r>
        <w:t>внесены следующие изменения.</w:t>
      </w:r>
    </w:p>
    <w:p w:rsidR="001363D8" w:rsidRDefault="001363D8" w:rsidP="001363D8">
      <w:r>
        <w:t>1. Из части 1 экзаменационной работы исключено составное задание (1–3), проверяющее умение сжато передавать главную информацию прочитанного</w:t>
      </w:r>
    </w:p>
    <w:p w:rsidR="001363D8" w:rsidRDefault="001363D8" w:rsidP="001363D8">
      <w:r>
        <w:t>текста. Вместо него в экзаменационную работу включено составное задание,</w:t>
      </w:r>
      <w:r>
        <w:t xml:space="preserve"> </w:t>
      </w:r>
      <w:r>
        <w:t>проверяющее умение выполнять стилистический анализ текста.</w:t>
      </w:r>
    </w:p>
    <w:p w:rsidR="001363D8" w:rsidRDefault="001363D8" w:rsidP="001363D8">
      <w:r>
        <w:t>2. Изменены формулировка, оценивание и спектр предъявляемого</w:t>
      </w:r>
      <w:r>
        <w:t xml:space="preserve"> </w:t>
      </w:r>
      <w:r>
        <w:t>языкового материала задания 16.</w:t>
      </w:r>
    </w:p>
    <w:p w:rsidR="001363D8" w:rsidRDefault="001363D8" w:rsidP="001363D8">
      <w:r>
        <w:t>3. Расширен языковой материал, предъявляемый для пунктуационного</w:t>
      </w:r>
      <w:r>
        <w:t xml:space="preserve"> </w:t>
      </w:r>
      <w:r>
        <w:t>анализа в задании 19.</w:t>
      </w:r>
    </w:p>
    <w:p w:rsidR="001363D8" w:rsidRDefault="001363D8" w:rsidP="001363D8">
      <w:r>
        <w:t>4. Уточнены нормы оценивания сочинения объёмом от 70 до 150 слов.</w:t>
      </w:r>
    </w:p>
    <w:p w:rsidR="001363D8" w:rsidRDefault="001363D8" w:rsidP="001363D8">
      <w:r>
        <w:t>5. Изменён первичный балл за выполнение работы с 59 до 58.</w:t>
      </w:r>
      <w:r>
        <w:cr/>
      </w:r>
    </w:p>
    <w:p w:rsidR="001363D8" w:rsidRDefault="001363D8" w:rsidP="00A33064"/>
    <w:p w:rsidR="00A33064" w:rsidRPr="001363D8" w:rsidRDefault="001363D8" w:rsidP="00A33064">
      <w:pPr>
        <w:rPr>
          <w:b/>
          <w:i/>
        </w:rPr>
      </w:pPr>
      <w:r w:rsidRPr="001363D8">
        <w:rPr>
          <w:b/>
        </w:rPr>
        <w:t>***</w:t>
      </w:r>
      <w:r w:rsidR="00A33064" w:rsidRPr="001363D8">
        <w:rPr>
          <w:b/>
          <w:i/>
        </w:rPr>
        <w:t xml:space="preserve">По РУССКОМУ ЯЗЫКУ экзамен тоже стал сложнее. </w:t>
      </w:r>
    </w:p>
    <w:p w:rsidR="00A33064" w:rsidRDefault="00A33064" w:rsidP="00A33064">
      <w:r>
        <w:rPr>
          <w:rFonts w:ascii="Segoe UI Symbol" w:hAnsi="Segoe UI Symbol" w:cs="Segoe UI Symbol"/>
        </w:rPr>
        <w:t>✅</w:t>
      </w:r>
      <w:r>
        <w:t xml:space="preserve">  Количество заданий осталось прежним – 27, включая сочинение. </w:t>
      </w:r>
    </w:p>
    <w:p w:rsidR="00A33064" w:rsidRDefault="00A33064" w:rsidP="00A33064">
      <w:r>
        <w:rPr>
          <w:rFonts w:ascii="Segoe UI Symbol" w:hAnsi="Segoe UI Symbol" w:cs="Segoe UI Symbol"/>
        </w:rPr>
        <w:t>✅</w:t>
      </w:r>
      <w:r>
        <w:t xml:space="preserve">  Заменено 1-е задание. Раньше необходимо было прочитать текст и выбрать из 5 вариантов 2 предложения (всегда 2), передающих главную мысль этого текста. По сути, нужно было найти два предложения-близнеца, в которых наиболее полно отражена информация из текста. </w:t>
      </w:r>
    </w:p>
    <w:p w:rsidR="00A33064" w:rsidRDefault="00A33064" w:rsidP="00A33064">
      <w:r>
        <w:t xml:space="preserve">Теперь текст задания стал больше. Необходимо выбрать несколько вариантов (не обязательно 2), верно отражающих характеристики этого текста. Задание проверяет: </w:t>
      </w:r>
    </w:p>
    <w:p w:rsidR="00A33064" w:rsidRDefault="00A33064" w:rsidP="00A33064">
      <w:r>
        <w:t xml:space="preserve">- умение выполнять стилистический анализ текста, </w:t>
      </w:r>
    </w:p>
    <w:p w:rsidR="00A33064" w:rsidRDefault="00A33064" w:rsidP="00A33064">
      <w:r>
        <w:t>- анализ средств выразительности (тропы и синтаксические средства),</w:t>
      </w:r>
    </w:p>
    <w:p w:rsidR="00A33064" w:rsidRDefault="00A33064" w:rsidP="00A33064">
      <w:r>
        <w:t xml:space="preserve">- анализ грамматических особенностей, </w:t>
      </w:r>
    </w:p>
    <w:p w:rsidR="00A33064" w:rsidRDefault="00A33064" w:rsidP="00A33064">
      <w:r>
        <w:t xml:space="preserve">- анализ лексики. </w:t>
      </w:r>
    </w:p>
    <w:p w:rsidR="00A33064" w:rsidRDefault="00A33064" w:rsidP="00A33064">
      <w:r>
        <w:t xml:space="preserve">Это довольно объемное по содержанию задание. За него, как и прежде, можно получить 1 балл. </w:t>
      </w:r>
    </w:p>
    <w:p w:rsidR="00A33064" w:rsidRDefault="00A33064" w:rsidP="00A33064">
      <w:r>
        <w:rPr>
          <w:rFonts w:ascii="Segoe UI Symbol" w:hAnsi="Segoe UI Symbol" w:cs="Segoe UI Symbol"/>
        </w:rPr>
        <w:t>✅</w:t>
      </w:r>
      <w:r>
        <w:t xml:space="preserve">  Усложнилось задание 16. Раньше нужно было отыскать два предложения, в которых пропущена одна запятая. Можно было получить по 1 баллу за каждое предложение (максимум 2). Теперь верных ответов может быть любое количество, не обязательно два, а максимальный балл – 1. </w:t>
      </w:r>
    </w:p>
    <w:p w:rsidR="00A33064" w:rsidRDefault="00A33064" w:rsidP="00A33064">
      <w:r>
        <w:rPr>
          <w:rFonts w:ascii="Segoe UI Symbol" w:hAnsi="Segoe UI Symbol" w:cs="Segoe UI Symbol"/>
        </w:rPr>
        <w:t>✅</w:t>
      </w:r>
      <w:r>
        <w:t xml:space="preserve">  Усложнилось задание 19. Раньше здесь в 99 % случаев предлагалось расставить знаки препинания в сложноподчинённом предложении с придаточным определительным (со словом «который»). Теперь это может быть сложное предложение с несколькими придаточными любого вида. </w:t>
      </w:r>
    </w:p>
    <w:p w:rsidR="00A33064" w:rsidRDefault="00A33064" w:rsidP="00A33064">
      <w:r>
        <w:rPr>
          <w:rFonts w:ascii="Segoe UI Symbol" w:hAnsi="Segoe UI Symbol" w:cs="Segoe UI Symbol"/>
        </w:rPr>
        <w:lastRenderedPageBreak/>
        <w:t>✅</w:t>
      </w:r>
      <w:r>
        <w:t xml:space="preserve">  Уточнены критерии оценивания сочинения объёмом от 70 до 150 слов. Чтобы иметь возможность получить максимум за сочинение (25 баллов), нужно написать более 150 слов, поэтому эту информацию считаю лишней. Нет смысла терять баллы только из-за того, что в сочинении менее 150 слов. </w:t>
      </w:r>
    </w:p>
    <w:p w:rsidR="00A33064" w:rsidRDefault="00A33064" w:rsidP="00A33064">
      <w:r>
        <w:rPr>
          <w:rFonts w:ascii="Segoe UI Symbol" w:hAnsi="Segoe UI Symbol" w:cs="Segoe UI Symbol"/>
        </w:rPr>
        <w:t>✅</w:t>
      </w:r>
      <w:r>
        <w:t xml:space="preserve">  Максимальное количество первичных баллов за выполнение всей работы – 58 (вместо 59). Это значит, что цена каждого балла немного возрастает при пересчёте на 100-балльную шкалу.</w:t>
      </w:r>
    </w:p>
    <w:p w:rsidR="00A33064" w:rsidRDefault="00A33064" w:rsidP="00A33064">
      <w:proofErr w:type="gramStart"/>
      <w:r>
        <w:rPr>
          <w:rFonts w:ascii="Segoe UI Symbol" w:hAnsi="Segoe UI Symbol" w:cs="Segoe UI Symbol"/>
        </w:rPr>
        <w:t>🎯</w:t>
      </w:r>
      <w:r>
        <w:t xml:space="preserve">  ВЫВОД</w:t>
      </w:r>
      <w:proofErr w:type="gramEnd"/>
      <w:r>
        <w:t>:</w:t>
      </w:r>
    </w:p>
    <w:p w:rsidR="001363D8" w:rsidRDefault="00A33064" w:rsidP="00A33064">
      <w:r>
        <w:rPr>
          <w:rFonts w:ascii="Segoe UI Symbol" w:hAnsi="Segoe UI Symbol" w:cs="Segoe UI Symbol"/>
        </w:rPr>
        <w:t>❗</w:t>
      </w:r>
      <w:proofErr w:type="gramStart"/>
      <w:r>
        <w:rPr>
          <w:rFonts w:ascii="Calibri" w:hAnsi="Calibri" w:cs="Calibri"/>
        </w:rPr>
        <w:t>️</w:t>
      </w:r>
      <w:r>
        <w:t xml:space="preserve">  Да</w:t>
      </w:r>
      <w:proofErr w:type="gramEnd"/>
      <w:r>
        <w:t>, ЕГЭ 2022 усложнили. Однако старшеклассник, который активно готовится к экзамену, постоянно решает задания, пишет сочинения, повторяет пройденный материал, практически не ощутит эти изменения.</w:t>
      </w:r>
    </w:p>
    <w:p w:rsidR="00A33064" w:rsidRDefault="00A33064" w:rsidP="001363D8"/>
    <w:p w:rsidR="001363D8" w:rsidRDefault="001363D8" w:rsidP="001363D8">
      <w:pPr>
        <w:rPr>
          <w:b/>
          <w:sz w:val="28"/>
        </w:rPr>
      </w:pPr>
      <w:r w:rsidRPr="001363D8">
        <w:rPr>
          <w:b/>
          <w:sz w:val="28"/>
        </w:rPr>
        <w:t>Литература</w:t>
      </w:r>
    </w:p>
    <w:p w:rsidR="001363D8" w:rsidRPr="001363D8" w:rsidRDefault="001363D8" w:rsidP="001363D8">
      <w:pPr>
        <w:rPr>
          <w:sz w:val="24"/>
        </w:rPr>
      </w:pPr>
      <w:r w:rsidRPr="001363D8">
        <w:rPr>
          <w:sz w:val="24"/>
        </w:rPr>
        <w:t>1. Обогащён литературный материал: шире представлена поэзия второй</w:t>
      </w:r>
      <w:r>
        <w:rPr>
          <w:sz w:val="24"/>
        </w:rPr>
        <w:t xml:space="preserve"> </w:t>
      </w:r>
      <w:r w:rsidRPr="001363D8">
        <w:rPr>
          <w:sz w:val="24"/>
        </w:rPr>
        <w:t>половины ХIХ – ХХ в., отечественная литература ХХI в.; включена зарубежная литература:</w:t>
      </w:r>
    </w:p>
    <w:p w:rsidR="001363D8" w:rsidRPr="001363D8" w:rsidRDefault="001363D8" w:rsidP="001363D8">
      <w:pPr>
        <w:rPr>
          <w:sz w:val="24"/>
        </w:rPr>
      </w:pPr>
      <w:r w:rsidRPr="001363D8">
        <w:rPr>
          <w:sz w:val="24"/>
        </w:rPr>
        <w:t> в заданиях 7–11 произведения зарубежной лирики могут привлекаться в</w:t>
      </w:r>
      <w:r>
        <w:rPr>
          <w:sz w:val="24"/>
        </w:rPr>
        <w:t xml:space="preserve"> </w:t>
      </w:r>
      <w:r w:rsidRPr="001363D8">
        <w:rPr>
          <w:sz w:val="24"/>
        </w:rPr>
        <w:t>качестве опорного текста для формулирования заданий разных видов с</w:t>
      </w:r>
      <w:r>
        <w:rPr>
          <w:sz w:val="24"/>
        </w:rPr>
        <w:t xml:space="preserve"> </w:t>
      </w:r>
      <w:r w:rsidRPr="001363D8">
        <w:rPr>
          <w:sz w:val="24"/>
        </w:rPr>
        <w:t>кратким и развёрнутым ответами; в ряде случаев при выполнении заданий</w:t>
      </w:r>
      <w:r>
        <w:rPr>
          <w:sz w:val="24"/>
        </w:rPr>
        <w:t xml:space="preserve"> </w:t>
      </w:r>
      <w:r w:rsidRPr="001363D8">
        <w:rPr>
          <w:sz w:val="24"/>
        </w:rPr>
        <w:t>6 и 11 допускается выбор примера для контекстного сопоставления не</w:t>
      </w:r>
      <w:r>
        <w:rPr>
          <w:sz w:val="24"/>
        </w:rPr>
        <w:t xml:space="preserve"> </w:t>
      </w:r>
      <w:r w:rsidRPr="001363D8">
        <w:rPr>
          <w:sz w:val="24"/>
        </w:rPr>
        <w:t>только из отечественной, но и из зарубежной литературы;</w:t>
      </w:r>
    </w:p>
    <w:p w:rsidR="001363D8" w:rsidRPr="001363D8" w:rsidRDefault="001363D8" w:rsidP="001363D8">
      <w:pPr>
        <w:rPr>
          <w:sz w:val="24"/>
        </w:rPr>
      </w:pPr>
      <w:r w:rsidRPr="001363D8">
        <w:rPr>
          <w:sz w:val="24"/>
        </w:rPr>
        <w:t> в некоторых формулировках тем сочинений части 2 предусмотрена</w:t>
      </w:r>
      <w:r>
        <w:rPr>
          <w:sz w:val="24"/>
        </w:rPr>
        <w:t xml:space="preserve"> </w:t>
      </w:r>
      <w:r w:rsidRPr="001363D8">
        <w:rPr>
          <w:sz w:val="24"/>
        </w:rPr>
        <w:t>возможность обращения к произведению отечественной или зарубежной</w:t>
      </w:r>
      <w:r>
        <w:rPr>
          <w:sz w:val="24"/>
        </w:rPr>
        <w:t xml:space="preserve"> </w:t>
      </w:r>
      <w:r w:rsidRPr="001363D8">
        <w:rPr>
          <w:sz w:val="24"/>
        </w:rPr>
        <w:t>литературы (по выбору участника).</w:t>
      </w:r>
    </w:p>
    <w:p w:rsidR="001363D8" w:rsidRPr="001363D8" w:rsidRDefault="001363D8" w:rsidP="001363D8">
      <w:pPr>
        <w:rPr>
          <w:sz w:val="24"/>
        </w:rPr>
      </w:pPr>
      <w:r w:rsidRPr="001363D8">
        <w:rPr>
          <w:sz w:val="24"/>
        </w:rPr>
        <w:t>2. Количество заданий базового уровня сложности (с кратким ответом)</w:t>
      </w:r>
      <w:r>
        <w:rPr>
          <w:sz w:val="24"/>
        </w:rPr>
        <w:t xml:space="preserve"> </w:t>
      </w:r>
      <w:r w:rsidRPr="001363D8">
        <w:rPr>
          <w:sz w:val="24"/>
        </w:rPr>
        <w:t>сокращено с 12 до 7, в результате чего изменилась нумерация заданий.</w:t>
      </w:r>
    </w:p>
    <w:p w:rsidR="001363D8" w:rsidRPr="001363D8" w:rsidRDefault="001363D8" w:rsidP="001363D8">
      <w:pPr>
        <w:rPr>
          <w:sz w:val="24"/>
        </w:rPr>
      </w:pPr>
      <w:r w:rsidRPr="001363D8">
        <w:rPr>
          <w:sz w:val="24"/>
        </w:rPr>
        <w:t>3. Увеличено количество заданий на выбор в части 1 (5.1/5.2, 10.1/10.2)</w:t>
      </w:r>
      <w:r>
        <w:rPr>
          <w:sz w:val="24"/>
        </w:rPr>
        <w:t xml:space="preserve"> </w:t>
      </w:r>
      <w:r w:rsidRPr="001363D8">
        <w:rPr>
          <w:sz w:val="24"/>
        </w:rPr>
        <w:t>и в части 2 (добавлена пятая тема сочинения с опорой на «диалог искусств»).</w:t>
      </w:r>
    </w:p>
    <w:p w:rsidR="001363D8" w:rsidRPr="001363D8" w:rsidRDefault="001363D8" w:rsidP="001363D8">
      <w:pPr>
        <w:rPr>
          <w:sz w:val="24"/>
        </w:rPr>
      </w:pPr>
      <w:r w:rsidRPr="001363D8">
        <w:rPr>
          <w:sz w:val="24"/>
        </w:rPr>
        <w:t>4. Изменены требования к выполнению заданий 6 (ранее – 9) и 11 (ранее –</w:t>
      </w:r>
      <w:r>
        <w:rPr>
          <w:sz w:val="24"/>
        </w:rPr>
        <w:t xml:space="preserve"> </w:t>
      </w:r>
      <w:r w:rsidRPr="001363D8">
        <w:rPr>
          <w:sz w:val="24"/>
        </w:rPr>
        <w:t>16): требуется подобрать не два, а одно произведение для сопоставления с</w:t>
      </w:r>
      <w:r>
        <w:rPr>
          <w:sz w:val="24"/>
        </w:rPr>
        <w:t xml:space="preserve"> </w:t>
      </w:r>
      <w:r w:rsidRPr="001363D8">
        <w:rPr>
          <w:sz w:val="24"/>
        </w:rPr>
        <w:t>предложенным текстом; уточнены критерии оценивания данных заданий.</w:t>
      </w:r>
    </w:p>
    <w:p w:rsidR="001363D8" w:rsidRPr="001363D8" w:rsidRDefault="001363D8" w:rsidP="001363D8">
      <w:pPr>
        <w:rPr>
          <w:sz w:val="24"/>
        </w:rPr>
      </w:pPr>
      <w:r w:rsidRPr="001363D8">
        <w:rPr>
          <w:sz w:val="24"/>
        </w:rPr>
        <w:t>5. Повышены требования к объёму сочинения (минимальное количество</w:t>
      </w:r>
      <w:r>
        <w:rPr>
          <w:sz w:val="24"/>
        </w:rPr>
        <w:t xml:space="preserve"> </w:t>
      </w:r>
      <w:r w:rsidRPr="001363D8">
        <w:rPr>
          <w:sz w:val="24"/>
        </w:rPr>
        <w:t>слов – 200).</w:t>
      </w:r>
    </w:p>
    <w:p w:rsidR="001363D8" w:rsidRPr="001363D8" w:rsidRDefault="001363D8" w:rsidP="001363D8">
      <w:pPr>
        <w:rPr>
          <w:sz w:val="24"/>
        </w:rPr>
      </w:pPr>
      <w:r w:rsidRPr="001363D8">
        <w:rPr>
          <w:sz w:val="24"/>
        </w:rPr>
        <w:t>6. Увеличен с 2 до 3 баллов максимальный балл оценивания сочинения</w:t>
      </w:r>
      <w:r>
        <w:rPr>
          <w:sz w:val="24"/>
        </w:rPr>
        <w:t xml:space="preserve"> </w:t>
      </w:r>
      <w:r w:rsidRPr="001363D8">
        <w:rPr>
          <w:sz w:val="24"/>
        </w:rPr>
        <w:t>(12.1–12.5) по критерию 3 «Опора на теоретико-литературные понятия».</w:t>
      </w:r>
    </w:p>
    <w:p w:rsidR="001363D8" w:rsidRPr="001363D8" w:rsidRDefault="001363D8" w:rsidP="001363D8">
      <w:pPr>
        <w:rPr>
          <w:sz w:val="24"/>
        </w:rPr>
      </w:pPr>
      <w:r w:rsidRPr="001363D8">
        <w:rPr>
          <w:sz w:val="24"/>
        </w:rPr>
        <w:t>7. Введены критерии оценивания грамотности.</w:t>
      </w:r>
    </w:p>
    <w:p w:rsidR="00287203" w:rsidRDefault="001363D8" w:rsidP="001363D8">
      <w:pPr>
        <w:rPr>
          <w:sz w:val="24"/>
        </w:rPr>
      </w:pPr>
      <w:r w:rsidRPr="001363D8">
        <w:rPr>
          <w:sz w:val="24"/>
        </w:rPr>
        <w:t>8. Изменён максимальный первичный балл за выполнение всей</w:t>
      </w:r>
      <w:r>
        <w:rPr>
          <w:sz w:val="24"/>
        </w:rPr>
        <w:t xml:space="preserve"> </w:t>
      </w:r>
      <w:r w:rsidRPr="001363D8">
        <w:rPr>
          <w:sz w:val="24"/>
        </w:rPr>
        <w:t>экзаменационной работы – 55 (в 2021 г. – 58 баллов)</w:t>
      </w:r>
    </w:p>
    <w:p w:rsidR="00287203" w:rsidRPr="00287203" w:rsidRDefault="00287203" w:rsidP="00287203">
      <w:pPr>
        <w:rPr>
          <w:sz w:val="24"/>
        </w:rPr>
      </w:pPr>
    </w:p>
    <w:p w:rsidR="001363D8" w:rsidRPr="00287203" w:rsidRDefault="00287203" w:rsidP="00287203">
      <w:pPr>
        <w:rPr>
          <w:sz w:val="24"/>
        </w:rPr>
      </w:pPr>
      <w:hyperlink r:id="rId4" w:history="1">
        <w:r w:rsidRPr="00A35D3C">
          <w:rPr>
            <w:rStyle w:val="a3"/>
            <w:sz w:val="24"/>
          </w:rPr>
          <w:t>https://fipi.ru/ege/demoversii-specifikacii-kodifikatory</w:t>
        </w:r>
      </w:hyperlink>
      <w:r>
        <w:rPr>
          <w:sz w:val="24"/>
        </w:rPr>
        <w:t xml:space="preserve"> </w:t>
      </w:r>
      <w:bookmarkStart w:id="0" w:name="_GoBack"/>
      <w:bookmarkEnd w:id="0"/>
    </w:p>
    <w:sectPr w:rsidR="001363D8" w:rsidRPr="00287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C6"/>
    <w:rsid w:val="001363D8"/>
    <w:rsid w:val="00287203"/>
    <w:rsid w:val="00510C36"/>
    <w:rsid w:val="008E438A"/>
    <w:rsid w:val="009C39C6"/>
    <w:rsid w:val="00A33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4D839-1C53-41D1-9FDD-46DD0EE0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72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715900">
      <w:bodyDiv w:val="1"/>
      <w:marLeft w:val="0"/>
      <w:marRight w:val="0"/>
      <w:marTop w:val="0"/>
      <w:marBottom w:val="0"/>
      <w:divBdr>
        <w:top w:val="none" w:sz="0" w:space="0" w:color="auto"/>
        <w:left w:val="none" w:sz="0" w:space="0" w:color="auto"/>
        <w:bottom w:val="none" w:sz="0" w:space="0" w:color="auto"/>
        <w:right w:val="none" w:sz="0" w:space="0" w:color="auto"/>
      </w:divBdr>
      <w:divsChild>
        <w:div w:id="130371570">
          <w:marLeft w:val="0"/>
          <w:marRight w:val="0"/>
          <w:marTop w:val="120"/>
          <w:marBottom w:val="0"/>
          <w:divBdr>
            <w:top w:val="none" w:sz="0" w:space="0" w:color="auto"/>
            <w:left w:val="none" w:sz="0" w:space="0" w:color="auto"/>
            <w:bottom w:val="none" w:sz="0" w:space="0" w:color="auto"/>
            <w:right w:val="none" w:sz="0" w:space="0" w:color="auto"/>
          </w:divBdr>
          <w:divsChild>
            <w:div w:id="1562406760">
              <w:marLeft w:val="0"/>
              <w:marRight w:val="0"/>
              <w:marTop w:val="0"/>
              <w:marBottom w:val="0"/>
              <w:divBdr>
                <w:top w:val="none" w:sz="0" w:space="0" w:color="auto"/>
                <w:left w:val="none" w:sz="0" w:space="0" w:color="auto"/>
                <w:bottom w:val="none" w:sz="0" w:space="0" w:color="auto"/>
                <w:right w:val="none" w:sz="0" w:space="0" w:color="auto"/>
              </w:divBdr>
            </w:div>
          </w:divsChild>
        </w:div>
        <w:div w:id="455871265">
          <w:marLeft w:val="0"/>
          <w:marRight w:val="0"/>
          <w:marTop w:val="120"/>
          <w:marBottom w:val="0"/>
          <w:divBdr>
            <w:top w:val="none" w:sz="0" w:space="0" w:color="auto"/>
            <w:left w:val="none" w:sz="0" w:space="0" w:color="auto"/>
            <w:bottom w:val="none" w:sz="0" w:space="0" w:color="auto"/>
            <w:right w:val="none" w:sz="0" w:space="0" w:color="auto"/>
          </w:divBdr>
          <w:divsChild>
            <w:div w:id="575168683">
              <w:marLeft w:val="0"/>
              <w:marRight w:val="0"/>
              <w:marTop w:val="0"/>
              <w:marBottom w:val="0"/>
              <w:divBdr>
                <w:top w:val="none" w:sz="0" w:space="0" w:color="auto"/>
                <w:left w:val="none" w:sz="0" w:space="0" w:color="auto"/>
                <w:bottom w:val="none" w:sz="0" w:space="0" w:color="auto"/>
                <w:right w:val="none" w:sz="0" w:space="0" w:color="auto"/>
              </w:divBdr>
            </w:div>
          </w:divsChild>
        </w:div>
        <w:div w:id="145972644">
          <w:marLeft w:val="0"/>
          <w:marRight w:val="0"/>
          <w:marTop w:val="120"/>
          <w:marBottom w:val="0"/>
          <w:divBdr>
            <w:top w:val="none" w:sz="0" w:space="0" w:color="auto"/>
            <w:left w:val="none" w:sz="0" w:space="0" w:color="auto"/>
            <w:bottom w:val="none" w:sz="0" w:space="0" w:color="auto"/>
            <w:right w:val="none" w:sz="0" w:space="0" w:color="auto"/>
          </w:divBdr>
          <w:divsChild>
            <w:div w:id="1917468319">
              <w:marLeft w:val="0"/>
              <w:marRight w:val="0"/>
              <w:marTop w:val="0"/>
              <w:marBottom w:val="0"/>
              <w:divBdr>
                <w:top w:val="none" w:sz="0" w:space="0" w:color="auto"/>
                <w:left w:val="none" w:sz="0" w:space="0" w:color="auto"/>
                <w:bottom w:val="none" w:sz="0" w:space="0" w:color="auto"/>
                <w:right w:val="none" w:sz="0" w:space="0" w:color="auto"/>
              </w:divBdr>
            </w:div>
            <w:div w:id="1759209206">
              <w:marLeft w:val="0"/>
              <w:marRight w:val="0"/>
              <w:marTop w:val="0"/>
              <w:marBottom w:val="0"/>
              <w:divBdr>
                <w:top w:val="none" w:sz="0" w:space="0" w:color="auto"/>
                <w:left w:val="none" w:sz="0" w:space="0" w:color="auto"/>
                <w:bottom w:val="none" w:sz="0" w:space="0" w:color="auto"/>
                <w:right w:val="none" w:sz="0" w:space="0" w:color="auto"/>
              </w:divBdr>
            </w:div>
            <w:div w:id="184367187">
              <w:marLeft w:val="0"/>
              <w:marRight w:val="0"/>
              <w:marTop w:val="0"/>
              <w:marBottom w:val="0"/>
              <w:divBdr>
                <w:top w:val="none" w:sz="0" w:space="0" w:color="auto"/>
                <w:left w:val="none" w:sz="0" w:space="0" w:color="auto"/>
                <w:bottom w:val="none" w:sz="0" w:space="0" w:color="auto"/>
                <w:right w:val="none" w:sz="0" w:space="0" w:color="auto"/>
              </w:divBdr>
            </w:div>
            <w:div w:id="1450123837">
              <w:marLeft w:val="0"/>
              <w:marRight w:val="0"/>
              <w:marTop w:val="0"/>
              <w:marBottom w:val="0"/>
              <w:divBdr>
                <w:top w:val="none" w:sz="0" w:space="0" w:color="auto"/>
                <w:left w:val="none" w:sz="0" w:space="0" w:color="auto"/>
                <w:bottom w:val="none" w:sz="0" w:space="0" w:color="auto"/>
                <w:right w:val="none" w:sz="0" w:space="0" w:color="auto"/>
              </w:divBdr>
            </w:div>
            <w:div w:id="515004036">
              <w:marLeft w:val="0"/>
              <w:marRight w:val="0"/>
              <w:marTop w:val="0"/>
              <w:marBottom w:val="0"/>
              <w:divBdr>
                <w:top w:val="none" w:sz="0" w:space="0" w:color="auto"/>
                <w:left w:val="none" w:sz="0" w:space="0" w:color="auto"/>
                <w:bottom w:val="none" w:sz="0" w:space="0" w:color="auto"/>
                <w:right w:val="none" w:sz="0" w:space="0" w:color="auto"/>
              </w:divBdr>
            </w:div>
            <w:div w:id="701589466">
              <w:marLeft w:val="0"/>
              <w:marRight w:val="0"/>
              <w:marTop w:val="0"/>
              <w:marBottom w:val="0"/>
              <w:divBdr>
                <w:top w:val="none" w:sz="0" w:space="0" w:color="auto"/>
                <w:left w:val="none" w:sz="0" w:space="0" w:color="auto"/>
                <w:bottom w:val="none" w:sz="0" w:space="0" w:color="auto"/>
                <w:right w:val="none" w:sz="0" w:space="0" w:color="auto"/>
              </w:divBdr>
            </w:div>
            <w:div w:id="1008481057">
              <w:marLeft w:val="0"/>
              <w:marRight w:val="0"/>
              <w:marTop w:val="0"/>
              <w:marBottom w:val="0"/>
              <w:divBdr>
                <w:top w:val="none" w:sz="0" w:space="0" w:color="auto"/>
                <w:left w:val="none" w:sz="0" w:space="0" w:color="auto"/>
                <w:bottom w:val="none" w:sz="0" w:space="0" w:color="auto"/>
                <w:right w:val="none" w:sz="0" w:space="0" w:color="auto"/>
              </w:divBdr>
            </w:div>
          </w:divsChild>
        </w:div>
        <w:div w:id="1942250863">
          <w:marLeft w:val="0"/>
          <w:marRight w:val="0"/>
          <w:marTop w:val="120"/>
          <w:marBottom w:val="0"/>
          <w:divBdr>
            <w:top w:val="none" w:sz="0" w:space="0" w:color="auto"/>
            <w:left w:val="none" w:sz="0" w:space="0" w:color="auto"/>
            <w:bottom w:val="none" w:sz="0" w:space="0" w:color="auto"/>
            <w:right w:val="none" w:sz="0" w:space="0" w:color="auto"/>
          </w:divBdr>
          <w:divsChild>
            <w:div w:id="1902129405">
              <w:marLeft w:val="0"/>
              <w:marRight w:val="0"/>
              <w:marTop w:val="0"/>
              <w:marBottom w:val="0"/>
              <w:divBdr>
                <w:top w:val="none" w:sz="0" w:space="0" w:color="auto"/>
                <w:left w:val="none" w:sz="0" w:space="0" w:color="auto"/>
                <w:bottom w:val="none" w:sz="0" w:space="0" w:color="auto"/>
                <w:right w:val="none" w:sz="0" w:space="0" w:color="auto"/>
              </w:divBdr>
            </w:div>
          </w:divsChild>
        </w:div>
        <w:div w:id="111556523">
          <w:marLeft w:val="0"/>
          <w:marRight w:val="0"/>
          <w:marTop w:val="120"/>
          <w:marBottom w:val="0"/>
          <w:divBdr>
            <w:top w:val="none" w:sz="0" w:space="0" w:color="auto"/>
            <w:left w:val="none" w:sz="0" w:space="0" w:color="auto"/>
            <w:bottom w:val="none" w:sz="0" w:space="0" w:color="auto"/>
            <w:right w:val="none" w:sz="0" w:space="0" w:color="auto"/>
          </w:divBdr>
          <w:divsChild>
            <w:div w:id="115950994">
              <w:marLeft w:val="0"/>
              <w:marRight w:val="0"/>
              <w:marTop w:val="0"/>
              <w:marBottom w:val="0"/>
              <w:divBdr>
                <w:top w:val="none" w:sz="0" w:space="0" w:color="auto"/>
                <w:left w:val="none" w:sz="0" w:space="0" w:color="auto"/>
                <w:bottom w:val="none" w:sz="0" w:space="0" w:color="auto"/>
                <w:right w:val="none" w:sz="0" w:space="0" w:color="auto"/>
              </w:divBdr>
            </w:div>
          </w:divsChild>
        </w:div>
        <w:div w:id="408623348">
          <w:marLeft w:val="0"/>
          <w:marRight w:val="0"/>
          <w:marTop w:val="120"/>
          <w:marBottom w:val="0"/>
          <w:divBdr>
            <w:top w:val="none" w:sz="0" w:space="0" w:color="auto"/>
            <w:left w:val="none" w:sz="0" w:space="0" w:color="auto"/>
            <w:bottom w:val="none" w:sz="0" w:space="0" w:color="auto"/>
            <w:right w:val="none" w:sz="0" w:space="0" w:color="auto"/>
          </w:divBdr>
          <w:divsChild>
            <w:div w:id="834958068">
              <w:marLeft w:val="0"/>
              <w:marRight w:val="0"/>
              <w:marTop w:val="0"/>
              <w:marBottom w:val="0"/>
              <w:divBdr>
                <w:top w:val="none" w:sz="0" w:space="0" w:color="auto"/>
                <w:left w:val="none" w:sz="0" w:space="0" w:color="auto"/>
                <w:bottom w:val="none" w:sz="0" w:space="0" w:color="auto"/>
                <w:right w:val="none" w:sz="0" w:space="0" w:color="auto"/>
              </w:divBdr>
            </w:div>
          </w:divsChild>
        </w:div>
        <w:div w:id="1074738559">
          <w:marLeft w:val="0"/>
          <w:marRight w:val="0"/>
          <w:marTop w:val="120"/>
          <w:marBottom w:val="0"/>
          <w:divBdr>
            <w:top w:val="none" w:sz="0" w:space="0" w:color="auto"/>
            <w:left w:val="none" w:sz="0" w:space="0" w:color="auto"/>
            <w:bottom w:val="none" w:sz="0" w:space="0" w:color="auto"/>
            <w:right w:val="none" w:sz="0" w:space="0" w:color="auto"/>
          </w:divBdr>
          <w:divsChild>
            <w:div w:id="1779789977">
              <w:marLeft w:val="0"/>
              <w:marRight w:val="0"/>
              <w:marTop w:val="0"/>
              <w:marBottom w:val="0"/>
              <w:divBdr>
                <w:top w:val="none" w:sz="0" w:space="0" w:color="auto"/>
                <w:left w:val="none" w:sz="0" w:space="0" w:color="auto"/>
                <w:bottom w:val="none" w:sz="0" w:space="0" w:color="auto"/>
                <w:right w:val="none" w:sz="0" w:space="0" w:color="auto"/>
              </w:divBdr>
            </w:div>
          </w:divsChild>
        </w:div>
        <w:div w:id="87507149">
          <w:marLeft w:val="0"/>
          <w:marRight w:val="0"/>
          <w:marTop w:val="120"/>
          <w:marBottom w:val="0"/>
          <w:divBdr>
            <w:top w:val="none" w:sz="0" w:space="0" w:color="auto"/>
            <w:left w:val="none" w:sz="0" w:space="0" w:color="auto"/>
            <w:bottom w:val="none" w:sz="0" w:space="0" w:color="auto"/>
            <w:right w:val="none" w:sz="0" w:space="0" w:color="auto"/>
          </w:divBdr>
          <w:divsChild>
            <w:div w:id="1942568144">
              <w:marLeft w:val="0"/>
              <w:marRight w:val="0"/>
              <w:marTop w:val="0"/>
              <w:marBottom w:val="0"/>
              <w:divBdr>
                <w:top w:val="none" w:sz="0" w:space="0" w:color="auto"/>
                <w:left w:val="none" w:sz="0" w:space="0" w:color="auto"/>
                <w:bottom w:val="none" w:sz="0" w:space="0" w:color="auto"/>
                <w:right w:val="none" w:sz="0" w:space="0" w:color="auto"/>
              </w:divBdr>
            </w:div>
          </w:divsChild>
        </w:div>
        <w:div w:id="702826585">
          <w:marLeft w:val="0"/>
          <w:marRight w:val="0"/>
          <w:marTop w:val="120"/>
          <w:marBottom w:val="0"/>
          <w:divBdr>
            <w:top w:val="none" w:sz="0" w:space="0" w:color="auto"/>
            <w:left w:val="none" w:sz="0" w:space="0" w:color="auto"/>
            <w:bottom w:val="none" w:sz="0" w:space="0" w:color="auto"/>
            <w:right w:val="none" w:sz="0" w:space="0" w:color="auto"/>
          </w:divBdr>
          <w:divsChild>
            <w:div w:id="3290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pi.ru/ege/demoversii-specifikacii-kodifikato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Кульчейко Е В</dc:creator>
  <cp:keywords/>
  <dc:description/>
  <cp:lastModifiedBy>Кульчейко Е В</cp:lastModifiedBy>
  <cp:revision>4</cp:revision>
  <dcterms:created xsi:type="dcterms:W3CDTF">2021-08-30T07:04:00Z</dcterms:created>
  <dcterms:modified xsi:type="dcterms:W3CDTF">2021-08-30T07:20:00Z</dcterms:modified>
</cp:coreProperties>
</file>