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FCAC7" w14:textId="77777777" w:rsidR="0056299B" w:rsidRDefault="003C577D" w:rsidP="00F843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8438B">
        <w:rPr>
          <w:rFonts w:ascii="Times New Roman" w:hAnsi="Times New Roman" w:cs="Times New Roman"/>
          <w:b/>
          <w:bCs/>
          <w:sz w:val="28"/>
          <w:szCs w:val="28"/>
        </w:rPr>
        <w:t>Маршрут «Героическое прошлое г. Керчь»</w:t>
      </w:r>
      <w:bookmarkEnd w:id="0"/>
      <w:r w:rsidR="00D918AC" w:rsidRPr="00F8438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7A11B72E" w14:textId="1F456F2B" w:rsidR="00D918AC" w:rsidRDefault="0056299B" w:rsidP="0056299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К 8</w:t>
      </w:r>
      <w:r w:rsidR="00D918AC" w:rsidRPr="00F8438B">
        <w:rPr>
          <w:rFonts w:ascii="Times New Roman" w:hAnsi="Times New Roman" w:cs="Times New Roman"/>
          <w:b/>
          <w:bCs/>
          <w:sz w:val="28"/>
          <w:szCs w:val="28"/>
        </w:rPr>
        <w:t>0-летию Великой Победы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C2B1A9" w14:textId="17E6CF3B" w:rsidR="0056299B" w:rsidRPr="00F8438B" w:rsidRDefault="0056299B" w:rsidP="005629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«Узнаем новое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незнкомое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CB7AFE5" w14:textId="16968E56" w:rsidR="00D918AC" w:rsidRPr="00F8438B" w:rsidRDefault="00D918AC">
      <w:pPr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>Выезд 25 апреля 2025 г.</w:t>
      </w:r>
    </w:p>
    <w:p w14:paraId="2F7CE8D8" w14:textId="77777777" w:rsidR="00D918AC" w:rsidRPr="00F8438B" w:rsidRDefault="00D918AC">
      <w:pPr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>Основной маршрут:</w:t>
      </w:r>
    </w:p>
    <w:p w14:paraId="6CA1630D" w14:textId="23192A3E" w:rsidR="00D918AC" w:rsidRPr="00F8438B" w:rsidRDefault="00D918AC" w:rsidP="00F8438B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F843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Старокарантинские</w:t>
      </w:r>
      <w:proofErr w:type="spellEnd"/>
      <w:r w:rsidRPr="00F8438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каменоломни</w:t>
      </w:r>
    </w:p>
    <w:p w14:paraId="57DB369A" w14:textId="738220D3" w:rsidR="00510882" w:rsidRPr="00F8438B" w:rsidRDefault="00510882" w:rsidP="00B76C92">
      <w:pPr>
        <w:pStyle w:val="2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F8438B">
        <w:rPr>
          <w:rFonts w:ascii="Times New Roman" w:hAnsi="Times New Roman" w:cs="Times New Roman"/>
          <w:color w:val="444444"/>
          <w:sz w:val="28"/>
          <w:szCs w:val="28"/>
        </w:rPr>
        <w:t xml:space="preserve">Нужно отметить, что многие путают </w:t>
      </w:r>
      <w:proofErr w:type="spellStart"/>
      <w:r w:rsidRPr="00F8438B">
        <w:rPr>
          <w:rFonts w:ascii="Times New Roman" w:hAnsi="Times New Roman" w:cs="Times New Roman"/>
          <w:color w:val="444444"/>
          <w:sz w:val="28"/>
          <w:szCs w:val="28"/>
        </w:rPr>
        <w:t>Старокарантинские</w:t>
      </w:r>
      <w:proofErr w:type="spellEnd"/>
      <w:r w:rsidRPr="00F8438B">
        <w:rPr>
          <w:rFonts w:ascii="Times New Roman" w:hAnsi="Times New Roman" w:cs="Times New Roman"/>
          <w:color w:val="444444"/>
          <w:sz w:val="28"/>
          <w:szCs w:val="28"/>
        </w:rPr>
        <w:t xml:space="preserve"> и </w:t>
      </w:r>
      <w:proofErr w:type="spellStart"/>
      <w:r w:rsidRPr="00F8438B">
        <w:rPr>
          <w:rFonts w:ascii="Times New Roman" w:hAnsi="Times New Roman" w:cs="Times New Roman"/>
          <w:color w:val="444444"/>
          <w:sz w:val="28"/>
          <w:szCs w:val="28"/>
        </w:rPr>
        <w:t>Аджимушкайские</w:t>
      </w:r>
      <w:proofErr w:type="spellEnd"/>
      <w:r w:rsidRPr="00F8438B">
        <w:rPr>
          <w:rFonts w:ascii="Times New Roman" w:hAnsi="Times New Roman" w:cs="Times New Roman"/>
          <w:color w:val="444444"/>
          <w:sz w:val="28"/>
          <w:szCs w:val="28"/>
        </w:rPr>
        <w:t xml:space="preserve"> каменоломни, и ошибочно приписывают </w:t>
      </w:r>
      <w:proofErr w:type="gramStart"/>
      <w:r w:rsidRPr="00F8438B">
        <w:rPr>
          <w:rFonts w:ascii="Times New Roman" w:hAnsi="Times New Roman" w:cs="Times New Roman"/>
          <w:color w:val="444444"/>
          <w:sz w:val="28"/>
          <w:szCs w:val="28"/>
        </w:rPr>
        <w:t>действия</w:t>
      </w:r>
      <w:proofErr w:type="gramEnd"/>
      <w:r w:rsidRPr="00F8438B">
        <w:rPr>
          <w:rFonts w:ascii="Times New Roman" w:hAnsi="Times New Roman" w:cs="Times New Roman"/>
          <w:color w:val="444444"/>
          <w:sz w:val="28"/>
          <w:szCs w:val="28"/>
        </w:rPr>
        <w:t xml:space="preserve"> которые происходили в </w:t>
      </w:r>
      <w:proofErr w:type="spellStart"/>
      <w:r w:rsidRPr="00F8438B">
        <w:rPr>
          <w:rFonts w:ascii="Times New Roman" w:hAnsi="Times New Roman" w:cs="Times New Roman"/>
          <w:color w:val="444444"/>
          <w:sz w:val="28"/>
          <w:szCs w:val="28"/>
        </w:rPr>
        <w:t>Старокарантинских</w:t>
      </w:r>
      <w:proofErr w:type="spellEnd"/>
      <w:r w:rsidRPr="00F8438B">
        <w:rPr>
          <w:rFonts w:ascii="Times New Roman" w:hAnsi="Times New Roman" w:cs="Times New Roman"/>
          <w:color w:val="444444"/>
          <w:sz w:val="28"/>
          <w:szCs w:val="28"/>
        </w:rPr>
        <w:t xml:space="preserve"> — </w:t>
      </w:r>
      <w:proofErr w:type="spellStart"/>
      <w:r w:rsidRPr="00F8438B">
        <w:rPr>
          <w:rFonts w:ascii="Times New Roman" w:hAnsi="Times New Roman" w:cs="Times New Roman"/>
          <w:color w:val="444444"/>
          <w:sz w:val="28"/>
          <w:szCs w:val="28"/>
        </w:rPr>
        <w:t>Аджимушкайским</w:t>
      </w:r>
      <w:proofErr w:type="spellEnd"/>
      <w:r w:rsidRPr="00F8438B">
        <w:rPr>
          <w:rFonts w:ascii="Times New Roman" w:hAnsi="Times New Roman" w:cs="Times New Roman"/>
          <w:color w:val="444444"/>
          <w:sz w:val="28"/>
          <w:szCs w:val="28"/>
        </w:rPr>
        <w:t>.</w:t>
      </w:r>
    </w:p>
    <w:p w14:paraId="5823CE9D" w14:textId="0B36FED7" w:rsidR="00D918AC" w:rsidRPr="00F8438B" w:rsidRDefault="00D918AC" w:rsidP="00B76C92">
      <w:pPr>
        <w:pStyle w:val="2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proofErr w:type="spellStart"/>
      <w:r w:rsidRPr="00F8438B">
        <w:rPr>
          <w:rFonts w:ascii="Times New Roman" w:hAnsi="Times New Roman" w:cs="Times New Roman"/>
          <w:color w:val="444444"/>
          <w:sz w:val="28"/>
          <w:szCs w:val="28"/>
        </w:rPr>
        <w:t>Старокарантинские</w:t>
      </w:r>
      <w:proofErr w:type="spellEnd"/>
      <w:r w:rsidRPr="00F8438B">
        <w:rPr>
          <w:rFonts w:ascii="Times New Roman" w:hAnsi="Times New Roman" w:cs="Times New Roman"/>
          <w:color w:val="444444"/>
          <w:sz w:val="28"/>
          <w:szCs w:val="28"/>
        </w:rPr>
        <w:t xml:space="preserve"> каменоломни в Керчи не входят в список известных туристических маршрутов, но являются интереснейшим историческим объектом.</w:t>
      </w:r>
    </w:p>
    <w:p w14:paraId="70BA3107" w14:textId="77777777" w:rsidR="00D918AC" w:rsidRPr="00F8438B" w:rsidRDefault="00D918AC" w:rsidP="00B76C92">
      <w:pPr>
        <w:pStyle w:val="2"/>
        <w:ind w:firstLine="851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F8438B">
        <w:rPr>
          <w:rFonts w:ascii="Times New Roman" w:hAnsi="Times New Roman" w:cs="Times New Roman"/>
          <w:color w:val="444444"/>
          <w:sz w:val="28"/>
          <w:szCs w:val="28"/>
        </w:rPr>
        <w:t>Трагические события Великой Отечественной войны, разыгравшиеся в этих подземельях, </w:t>
      </w:r>
      <w:r w:rsidRPr="00F8438B">
        <w:rPr>
          <w:rFonts w:ascii="Times New Roman" w:hAnsi="Times New Roman" w:cs="Times New Roman"/>
          <w:b/>
          <w:bCs/>
          <w:color w:val="444444"/>
          <w:sz w:val="28"/>
          <w:szCs w:val="28"/>
        </w:rPr>
        <w:t>незаслуженно забыты историками</w:t>
      </w:r>
      <w:r w:rsidRPr="00F8438B">
        <w:rPr>
          <w:rFonts w:ascii="Times New Roman" w:hAnsi="Times New Roman" w:cs="Times New Roman"/>
          <w:color w:val="444444"/>
          <w:sz w:val="28"/>
          <w:szCs w:val="28"/>
        </w:rPr>
        <w:t>. До сих пор, темные лабиринты катакомб, простирающиеся на десятки километров под землей, хранят в себе тайны героев, воевавших здесь на протяжении нескольких месяцев.</w:t>
      </w:r>
    </w:p>
    <w:p w14:paraId="49CEBAC9" w14:textId="77777777" w:rsidR="00D918AC" w:rsidRPr="00F8438B" w:rsidRDefault="00D918AC" w:rsidP="00B76C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 xml:space="preserve">На каменоломни с известняковыми породами в районе поселка Старый Карантин наткнулись уже в конце 50-х годов 19 века. Разработка получила название «Новгородские каменоломни». Тогда подземелье официально стало использоваться по назначению – здесь добывали камень для строительства </w:t>
      </w:r>
      <w:r w:rsidRPr="00F8438B">
        <w:rPr>
          <w:rFonts w:ascii="Times New Roman" w:hAnsi="Times New Roman" w:cs="Times New Roman"/>
          <w:b/>
          <w:bCs/>
          <w:sz w:val="28"/>
          <w:szCs w:val="28"/>
        </w:rPr>
        <w:t xml:space="preserve">крепости Керчь </w:t>
      </w:r>
      <w:r w:rsidRPr="00F8438B">
        <w:rPr>
          <w:rFonts w:ascii="Times New Roman" w:hAnsi="Times New Roman" w:cs="Times New Roman"/>
          <w:sz w:val="28"/>
          <w:szCs w:val="28"/>
        </w:rPr>
        <w:t>в Павловской бухте.</w:t>
      </w:r>
    </w:p>
    <w:p w14:paraId="4717F57D" w14:textId="69C26C13" w:rsidR="00D918AC" w:rsidRPr="00F8438B" w:rsidRDefault="00D918AC" w:rsidP="00B76C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 xml:space="preserve">Со временем под землей образовалась довольно сложная система катакомб – с длинными туннелями и тремя ярусами, глубина которых составляет до 70 метров. По оценкам спелеологов протяженность </w:t>
      </w:r>
      <w:proofErr w:type="spellStart"/>
      <w:r w:rsidRPr="00F8438B">
        <w:rPr>
          <w:rFonts w:ascii="Times New Roman" w:hAnsi="Times New Roman" w:cs="Times New Roman"/>
          <w:sz w:val="28"/>
          <w:szCs w:val="28"/>
        </w:rPr>
        <w:t>Старокарантинской</w:t>
      </w:r>
      <w:proofErr w:type="spellEnd"/>
      <w:r w:rsidRPr="00F8438B">
        <w:rPr>
          <w:rFonts w:ascii="Times New Roman" w:hAnsi="Times New Roman" w:cs="Times New Roman"/>
          <w:sz w:val="28"/>
          <w:szCs w:val="28"/>
        </w:rPr>
        <w:t xml:space="preserve"> каменоломни составляет около 40-60 километро</w:t>
      </w:r>
      <w:r w:rsidR="00F8438B">
        <w:rPr>
          <w:rFonts w:ascii="Times New Roman" w:hAnsi="Times New Roman" w:cs="Times New Roman"/>
          <w:sz w:val="28"/>
          <w:szCs w:val="28"/>
        </w:rPr>
        <w:t xml:space="preserve">в. </w:t>
      </w:r>
    </w:p>
    <w:p w14:paraId="7D31938C" w14:textId="77777777" w:rsidR="00D918AC" w:rsidRPr="00F8438B" w:rsidRDefault="00D918AC" w:rsidP="00B76C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>Каменоломни Старого Карантина по протяженности гораздо длинней </w:t>
      </w:r>
      <w:proofErr w:type="spellStart"/>
      <w:r w:rsidR="00B76C92">
        <w:fldChar w:fldCharType="begin"/>
      </w:r>
      <w:r w:rsidR="00B76C92">
        <w:instrText xml:space="preserve"> HYPERLINK "https://4kerch.ru/history/ussr/kerch-adzhimushkay.html" \o "Аджимушкайские каменоломни" </w:instrText>
      </w:r>
      <w:r w:rsidR="00B76C92">
        <w:fldChar w:fldCharType="separate"/>
      </w:r>
      <w:r w:rsidRPr="00F8438B">
        <w:rPr>
          <w:rStyle w:val="ad"/>
          <w:rFonts w:ascii="Times New Roman" w:hAnsi="Times New Roman" w:cs="Times New Roman"/>
          <w:sz w:val="28"/>
          <w:szCs w:val="28"/>
        </w:rPr>
        <w:t>Аджимушкайских</w:t>
      </w:r>
      <w:proofErr w:type="spellEnd"/>
      <w:r w:rsidR="00B76C92">
        <w:rPr>
          <w:rStyle w:val="ad"/>
          <w:rFonts w:ascii="Times New Roman" w:hAnsi="Times New Roman" w:cs="Times New Roman"/>
          <w:sz w:val="28"/>
          <w:szCs w:val="28"/>
        </w:rPr>
        <w:fldChar w:fldCharType="end"/>
      </w:r>
      <w:r w:rsidRPr="00F8438B">
        <w:rPr>
          <w:rFonts w:ascii="Times New Roman" w:hAnsi="Times New Roman" w:cs="Times New Roman"/>
          <w:sz w:val="28"/>
          <w:szCs w:val="28"/>
        </w:rPr>
        <w:t>. Это позволяло в годы гражданской и Великой Отечественной войны размещать в подземельях отдельные цеха городских предприятий. А сложная система ходов и глубина катакомб являлась идеальным убежищем для партизан.</w:t>
      </w:r>
    </w:p>
    <w:p w14:paraId="434AD181" w14:textId="70D70D75" w:rsidR="00D918AC" w:rsidRPr="00F8438B" w:rsidRDefault="00D918AC" w:rsidP="00B76C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 xml:space="preserve">В годы гражданской войны в к. 1918- начала 1919 </w:t>
      </w:r>
      <w:proofErr w:type="spellStart"/>
      <w:r w:rsidRPr="00F8438B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F8438B">
        <w:rPr>
          <w:rFonts w:ascii="Times New Roman" w:hAnsi="Times New Roman" w:cs="Times New Roman"/>
          <w:sz w:val="28"/>
          <w:szCs w:val="28"/>
        </w:rPr>
        <w:t xml:space="preserve"> действовал партизанский отряд сапожника </w:t>
      </w:r>
      <w:proofErr w:type="spellStart"/>
      <w:r w:rsidRPr="00F8438B">
        <w:rPr>
          <w:rFonts w:ascii="Times New Roman" w:hAnsi="Times New Roman" w:cs="Times New Roman"/>
          <w:sz w:val="28"/>
          <w:szCs w:val="28"/>
        </w:rPr>
        <w:t>В.Денисова</w:t>
      </w:r>
      <w:proofErr w:type="spellEnd"/>
      <w:r w:rsidRPr="00F8438B">
        <w:rPr>
          <w:rFonts w:ascii="Times New Roman" w:hAnsi="Times New Roman" w:cs="Times New Roman"/>
          <w:sz w:val="28"/>
          <w:szCs w:val="28"/>
        </w:rPr>
        <w:t xml:space="preserve"> (Денисенко), который насчитывал около 180 человек. Партизаны избрали местом дислокации </w:t>
      </w:r>
      <w:proofErr w:type="spellStart"/>
      <w:r w:rsidRPr="00F8438B">
        <w:rPr>
          <w:rFonts w:ascii="Times New Roman" w:hAnsi="Times New Roman" w:cs="Times New Roman"/>
          <w:sz w:val="28"/>
          <w:szCs w:val="28"/>
        </w:rPr>
        <w:t>Старокарантинские</w:t>
      </w:r>
      <w:proofErr w:type="spellEnd"/>
      <w:r w:rsidRPr="00F8438B">
        <w:rPr>
          <w:rFonts w:ascii="Times New Roman" w:hAnsi="Times New Roman" w:cs="Times New Roman"/>
          <w:sz w:val="28"/>
          <w:szCs w:val="28"/>
        </w:rPr>
        <w:t xml:space="preserve"> каменоломни. Отсюда время от времени партизаны устраивали довольно успешные вылазки, нападали на белогвардейские части, захватывали склады.</w:t>
      </w:r>
    </w:p>
    <w:p w14:paraId="022BE8CB" w14:textId="692B3B0D" w:rsidR="00D918AC" w:rsidRPr="00F8438B" w:rsidRDefault="00D918AC" w:rsidP="00B76C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lastRenderedPageBreak/>
        <w:t>В период Великой Отечественной войны подземелье дважды становилось базой советских партизан. При первой оккупации фашистов партизанское движение было организованным, во вторую оккупацию носило стихийный характер.</w:t>
      </w:r>
    </w:p>
    <w:p w14:paraId="6AD04CC9" w14:textId="6F31D905" w:rsidR="00510882" w:rsidRPr="00F8438B" w:rsidRDefault="00510882" w:rsidP="00B76C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>В годы первой оккупации действовал отряд имени Сталина. Отряд в основном состоял из местных жителей – рыбаков, рабочих, служащих. Лишь позже, после полного отступления советских войск, в отряд влилось несколько бойцов Красной Армии.</w:t>
      </w:r>
    </w:p>
    <w:p w14:paraId="2BA764AA" w14:textId="087521C6" w:rsidR="00510882" w:rsidRPr="00F8438B" w:rsidRDefault="00510882" w:rsidP="00B76C9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>Большую помощь партизанам оказывали местные мальчишки, проживающие в поселке Старый Карантин. Одним из таких подростков был 14-летний </w:t>
      </w:r>
      <w:hyperlink r:id="rId5" w:tgtFrame="_blank" w:history="1">
        <w:r w:rsidRPr="00F8438B">
          <w:rPr>
            <w:rStyle w:val="ad"/>
            <w:rFonts w:ascii="Times New Roman" w:hAnsi="Times New Roman" w:cs="Times New Roman"/>
            <w:sz w:val="28"/>
            <w:szCs w:val="28"/>
          </w:rPr>
          <w:t>Володя Дубинин</w:t>
        </w:r>
      </w:hyperlink>
      <w:r w:rsidRPr="00F8438B">
        <w:rPr>
          <w:rFonts w:ascii="Times New Roman" w:hAnsi="Times New Roman" w:cs="Times New Roman"/>
          <w:sz w:val="28"/>
          <w:szCs w:val="28"/>
        </w:rPr>
        <w:t>. Вместе с друзьями, Толей Ковалевым и Ваней Гриценко, мальчик часто выполнял задания командира и добывал нужные для отряда сведения.</w:t>
      </w:r>
    </w:p>
    <w:p w14:paraId="7C073102" w14:textId="77777777" w:rsidR="00510882" w:rsidRPr="00F8438B" w:rsidRDefault="00510882" w:rsidP="00B76C92">
      <w:pPr>
        <w:pStyle w:val="a7"/>
        <w:ind w:firstLine="851"/>
        <w:rPr>
          <w:rFonts w:ascii="Times New Roman" w:hAnsi="Times New Roman" w:cs="Times New Roman"/>
          <w:sz w:val="28"/>
          <w:szCs w:val="28"/>
        </w:rPr>
      </w:pPr>
    </w:p>
    <w:p w14:paraId="26BBCAAF" w14:textId="22343869" w:rsidR="00510882" w:rsidRPr="00F8438B" w:rsidRDefault="00510882" w:rsidP="00D918AC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ED07D2" wp14:editId="08F2D90D">
            <wp:extent cx="5940425" cy="396494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0392C" w14:textId="77777777" w:rsidR="00510882" w:rsidRPr="00D918AC" w:rsidRDefault="00510882" w:rsidP="00D918A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0B100EE4" w14:textId="260C534A" w:rsidR="00D918AC" w:rsidRPr="00F8438B" w:rsidRDefault="00510882" w:rsidP="00D918AC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E77E36F" wp14:editId="57A5CB7E">
            <wp:extent cx="5940425" cy="3644265"/>
            <wp:effectExtent l="0" t="0" r="3175" b="0"/>
            <wp:docPr id="1" name="Рисунок 1" descr="Старокарантинские катаком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рокарантинские катакомб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4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="00D918AC" w:rsidRPr="00F8438B">
          <w:rPr>
            <w:rStyle w:val="ad"/>
            <w:rFonts w:ascii="Times New Roman" w:hAnsi="Times New Roman" w:cs="Times New Roman"/>
            <w:sz w:val="28"/>
            <w:szCs w:val="28"/>
          </w:rPr>
          <w:br/>
        </w:r>
      </w:hyperlink>
    </w:p>
    <w:p w14:paraId="10FC3845" w14:textId="77777777" w:rsidR="00510882" w:rsidRPr="00F8438B" w:rsidRDefault="00510882" w:rsidP="00D918AC">
      <w:pPr>
        <w:pStyle w:val="a7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>Посещение только с фонариками!!! Экскурсия по спецзаказу для нас!!!</w:t>
      </w:r>
    </w:p>
    <w:p w14:paraId="321437E4" w14:textId="77777777" w:rsidR="00510882" w:rsidRPr="00F8438B" w:rsidRDefault="00510882" w:rsidP="00D918AC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CDAE965" w14:textId="219B7A7F" w:rsidR="00DA6599" w:rsidRPr="00F8438B" w:rsidRDefault="00DA6599" w:rsidP="00F8438B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F8438B">
        <w:rPr>
          <w:rFonts w:ascii="Times New Roman" w:hAnsi="Times New Roman" w:cs="Times New Roman"/>
          <w:b/>
          <w:bCs/>
          <w:sz w:val="28"/>
          <w:szCs w:val="28"/>
        </w:rPr>
        <w:t xml:space="preserve">Музей истории </w:t>
      </w:r>
      <w:proofErr w:type="spellStart"/>
      <w:r w:rsidRPr="00F8438B">
        <w:rPr>
          <w:rFonts w:ascii="Times New Roman" w:hAnsi="Times New Roman" w:cs="Times New Roman"/>
          <w:b/>
          <w:bCs/>
          <w:sz w:val="28"/>
          <w:szCs w:val="28"/>
        </w:rPr>
        <w:t>Керченско-Эльтигенского</w:t>
      </w:r>
      <w:proofErr w:type="spellEnd"/>
      <w:r w:rsidRPr="00F8438B">
        <w:rPr>
          <w:rFonts w:ascii="Times New Roman" w:hAnsi="Times New Roman" w:cs="Times New Roman"/>
          <w:b/>
          <w:bCs/>
          <w:sz w:val="28"/>
          <w:szCs w:val="28"/>
        </w:rPr>
        <w:t xml:space="preserve"> десанта</w:t>
      </w:r>
    </w:p>
    <w:p w14:paraId="0C24E936" w14:textId="7FC28BF4" w:rsidR="0056299B" w:rsidRDefault="0056299B" w:rsidP="00DA6599">
      <w:pPr>
        <w:pStyle w:val="ac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32672E99" wp14:editId="634DF8F5">
            <wp:extent cx="2755446" cy="1543050"/>
            <wp:effectExtent l="0" t="0" r="6985" b="0"/>
            <wp:docPr id="8" name="Рисунок 8" descr="Музей истории Керченско-Эльтигенского десанта, улица Галины Петровой, 2,  Керчь — 2Г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узей истории Керченско-Эльтигенского десанта, улица Галины Петровой, 2,  Керчь — 2ГИ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43" cy="154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2EB035" wp14:editId="265E03BF">
            <wp:extent cx="2660650" cy="1714500"/>
            <wp:effectExtent l="0" t="0" r="6350" b="0"/>
            <wp:docPr id="9" name="Рисунок 9" descr="Музей Эльтигенского десанта, музей, ул. Генерала Косоногова, 2, Керчь —  Яндекс Кар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узей Эльтигенского десанта, музей, ул. Генерала Косоногова, 2, Керчь —  Яндекс Карт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3F21D" w14:textId="5694238E" w:rsidR="00DA6599" w:rsidRPr="00F8438B" w:rsidRDefault="00DA6599" w:rsidP="00B76C92">
      <w:pPr>
        <w:pStyle w:val="ac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 w:rsidRPr="00F8438B">
        <w:rPr>
          <w:color w:val="333333"/>
          <w:sz w:val="28"/>
          <w:szCs w:val="28"/>
        </w:rPr>
        <w:t xml:space="preserve">Музей истории </w:t>
      </w:r>
      <w:proofErr w:type="spellStart"/>
      <w:r w:rsidRPr="00F8438B">
        <w:rPr>
          <w:color w:val="333333"/>
          <w:sz w:val="28"/>
          <w:szCs w:val="28"/>
        </w:rPr>
        <w:t>Керченско-Эльтигенского</w:t>
      </w:r>
      <w:proofErr w:type="spellEnd"/>
      <w:r w:rsidRPr="00F8438B">
        <w:rPr>
          <w:color w:val="333333"/>
          <w:sz w:val="28"/>
          <w:szCs w:val="28"/>
        </w:rPr>
        <w:t xml:space="preserve"> десанта, 1943-1944 гг.; был открыт в мае 1985 г. В 2013 г. была проведена масштабная</w:t>
      </w:r>
      <w:r w:rsidR="00F8438B">
        <w:rPr>
          <w:color w:val="333333"/>
          <w:sz w:val="28"/>
          <w:szCs w:val="28"/>
        </w:rPr>
        <w:t xml:space="preserve"> </w:t>
      </w:r>
      <w:proofErr w:type="spellStart"/>
      <w:r w:rsidRPr="00F8438B">
        <w:rPr>
          <w:color w:val="333333"/>
          <w:sz w:val="28"/>
          <w:szCs w:val="28"/>
        </w:rPr>
        <w:t>реэкспозиция</w:t>
      </w:r>
      <w:proofErr w:type="spellEnd"/>
      <w:r w:rsidRPr="00F8438B">
        <w:rPr>
          <w:color w:val="333333"/>
          <w:sz w:val="28"/>
          <w:szCs w:val="28"/>
        </w:rPr>
        <w:t xml:space="preserve"> музея.  Каждый зал музея рассказывает подробно обо всех этапах высадки десанта на </w:t>
      </w:r>
      <w:proofErr w:type="spellStart"/>
      <w:r w:rsidRPr="00F8438B">
        <w:rPr>
          <w:color w:val="333333"/>
          <w:sz w:val="28"/>
          <w:szCs w:val="28"/>
        </w:rPr>
        <w:t>Эльтигенском</w:t>
      </w:r>
      <w:proofErr w:type="spellEnd"/>
      <w:r w:rsidRPr="00F8438B">
        <w:rPr>
          <w:color w:val="333333"/>
          <w:sz w:val="28"/>
          <w:szCs w:val="28"/>
        </w:rPr>
        <w:t xml:space="preserve"> и Северо-восточном плацдармах.</w:t>
      </w:r>
    </w:p>
    <w:p w14:paraId="20CBE4C8" w14:textId="77777777" w:rsidR="00DA6599" w:rsidRPr="00F8438B" w:rsidRDefault="00DA6599" w:rsidP="00B76C92">
      <w:pPr>
        <w:pStyle w:val="ac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proofErr w:type="spellStart"/>
      <w:r w:rsidRPr="00F8438B">
        <w:rPr>
          <w:color w:val="333333"/>
          <w:sz w:val="28"/>
          <w:szCs w:val="28"/>
        </w:rPr>
        <w:t>Керченско-Эльтигенская</w:t>
      </w:r>
      <w:proofErr w:type="spellEnd"/>
      <w:r w:rsidRPr="00F8438B">
        <w:rPr>
          <w:color w:val="333333"/>
          <w:sz w:val="28"/>
          <w:szCs w:val="28"/>
        </w:rPr>
        <w:t xml:space="preserve"> десантная операция, положившая начало освобождению Керчи и Крыма, стала одной из крупнейших морских операций в годы Великой Отечественной войны.</w:t>
      </w:r>
    </w:p>
    <w:p w14:paraId="49148082" w14:textId="77777777" w:rsidR="00DA6599" w:rsidRPr="00F8438B" w:rsidRDefault="00DA6599" w:rsidP="00B76C92">
      <w:pPr>
        <w:pStyle w:val="ac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 w:rsidRPr="00F8438B">
        <w:rPr>
          <w:color w:val="333333"/>
          <w:sz w:val="28"/>
          <w:szCs w:val="28"/>
        </w:rPr>
        <w:t xml:space="preserve">Десанту удалось захватить небольшой плацдарм 3 км по фронту и 1,5 в глубину получивший название </w:t>
      </w:r>
      <w:r w:rsidRPr="00F8438B">
        <w:rPr>
          <w:b/>
          <w:bCs/>
          <w:color w:val="333333"/>
          <w:sz w:val="28"/>
          <w:szCs w:val="28"/>
        </w:rPr>
        <w:t>«Огненная земля»</w:t>
      </w:r>
      <w:r w:rsidRPr="00F8438B">
        <w:rPr>
          <w:color w:val="333333"/>
          <w:sz w:val="28"/>
          <w:szCs w:val="28"/>
        </w:rPr>
        <w:t xml:space="preserve">. 36 суток, в условиях полной блокады сражались бесстрашные десантники. 61 защитник был </w:t>
      </w:r>
      <w:proofErr w:type="gramStart"/>
      <w:r w:rsidRPr="00F8438B">
        <w:rPr>
          <w:color w:val="333333"/>
          <w:sz w:val="28"/>
          <w:szCs w:val="28"/>
        </w:rPr>
        <w:t>удостоен  высокого</w:t>
      </w:r>
      <w:proofErr w:type="gramEnd"/>
      <w:r w:rsidRPr="00F8438B">
        <w:rPr>
          <w:color w:val="333333"/>
          <w:sz w:val="28"/>
          <w:szCs w:val="28"/>
        </w:rPr>
        <w:t xml:space="preserve"> звания Героя Советского Союза.</w:t>
      </w:r>
    </w:p>
    <w:p w14:paraId="3292E062" w14:textId="77777777" w:rsidR="00DA6599" w:rsidRPr="00F8438B" w:rsidRDefault="00DA6599" w:rsidP="00B76C92">
      <w:pPr>
        <w:pStyle w:val="ac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 w:rsidRPr="00F8438B">
        <w:rPr>
          <w:color w:val="333333"/>
          <w:sz w:val="28"/>
          <w:szCs w:val="28"/>
        </w:rPr>
        <w:lastRenderedPageBreak/>
        <w:t xml:space="preserve">Дополняют музей военно-исторические памятники, расположенные на прилегающей территории к </w:t>
      </w:r>
      <w:proofErr w:type="gramStart"/>
      <w:r w:rsidRPr="00F8438B">
        <w:rPr>
          <w:color w:val="333333"/>
          <w:sz w:val="28"/>
          <w:szCs w:val="28"/>
        </w:rPr>
        <w:t>музею  –</w:t>
      </w:r>
      <w:proofErr w:type="gramEnd"/>
      <w:r w:rsidRPr="00F8438B">
        <w:rPr>
          <w:color w:val="333333"/>
          <w:sz w:val="28"/>
          <w:szCs w:val="28"/>
        </w:rPr>
        <w:t xml:space="preserve"> площадка оружия периода Великой Отечественной войны, братские могилы – места захоронений советских воинов, военный госпиталь и операционная десантников </w:t>
      </w:r>
      <w:proofErr w:type="spellStart"/>
      <w:r w:rsidRPr="00F8438B">
        <w:rPr>
          <w:color w:val="333333"/>
          <w:sz w:val="28"/>
          <w:szCs w:val="28"/>
        </w:rPr>
        <w:t>Эльтигена</w:t>
      </w:r>
      <w:proofErr w:type="spellEnd"/>
      <w:r w:rsidRPr="00F8438B">
        <w:rPr>
          <w:color w:val="333333"/>
          <w:sz w:val="28"/>
          <w:szCs w:val="28"/>
        </w:rPr>
        <w:t>, памятный знак «Мотобот».</w:t>
      </w:r>
    </w:p>
    <w:p w14:paraId="34225ED8" w14:textId="28E66F34" w:rsidR="00DA6599" w:rsidRPr="00F8438B" w:rsidRDefault="00DA6599" w:rsidP="00B76C92">
      <w:pPr>
        <w:pStyle w:val="ac"/>
        <w:numPr>
          <w:ilvl w:val="0"/>
          <w:numId w:val="4"/>
        </w:numPr>
        <w:shd w:val="clear" w:color="auto" w:fill="FFFFFF"/>
        <w:spacing w:before="0" w:beforeAutospacing="0" w:after="150" w:afterAutospacing="0"/>
        <w:ind w:left="0" w:firstLine="720"/>
        <w:rPr>
          <w:b/>
          <w:bCs/>
          <w:color w:val="333333"/>
          <w:sz w:val="28"/>
          <w:szCs w:val="28"/>
        </w:rPr>
      </w:pPr>
      <w:r w:rsidRPr="00F8438B">
        <w:rPr>
          <w:b/>
          <w:bCs/>
          <w:color w:val="333333"/>
          <w:sz w:val="28"/>
          <w:szCs w:val="28"/>
        </w:rPr>
        <w:t>Крепость Керчь</w:t>
      </w:r>
    </w:p>
    <w:p w14:paraId="4609D1A3" w14:textId="04F8F385" w:rsidR="0071044D" w:rsidRPr="00F8438B" w:rsidRDefault="0071044D" w:rsidP="00B76C92">
      <w:pPr>
        <w:pStyle w:val="ac"/>
        <w:ind w:firstLine="720"/>
        <w:rPr>
          <w:sz w:val="28"/>
          <w:szCs w:val="28"/>
        </w:rPr>
      </w:pPr>
      <w:r w:rsidRPr="00F8438B">
        <w:rPr>
          <w:noProof/>
          <w:sz w:val="28"/>
          <w:szCs w:val="28"/>
        </w:rPr>
        <w:drawing>
          <wp:inline distT="0" distB="0" distL="0" distR="0" wp14:anchorId="3C2DD9D0" wp14:editId="123E4965">
            <wp:extent cx="2404962" cy="18034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20" cy="181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438B" w:rsidRPr="00F8438B">
        <w:rPr>
          <w:noProof/>
          <w:sz w:val="28"/>
          <w:szCs w:val="28"/>
        </w:rPr>
        <w:drawing>
          <wp:inline distT="0" distB="0" distL="0" distR="0" wp14:anchorId="5DA2F1A2" wp14:editId="3E116CF6">
            <wp:extent cx="2815104" cy="2108200"/>
            <wp:effectExtent l="0" t="0" r="4445" b="6350"/>
            <wp:docPr id="3" name="Рисунок 3" descr="Казарма Минского люнета. Керченская креп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зарма Минского люнета. Керченская крепост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37137" cy="212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5A636" w14:textId="46819120" w:rsidR="00DA6599" w:rsidRPr="00F8438B" w:rsidRDefault="00DA6599" w:rsidP="00B76C92">
      <w:pPr>
        <w:pStyle w:val="ac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 w:rsidRPr="00F8438B">
        <w:rPr>
          <w:color w:val="333333"/>
          <w:sz w:val="28"/>
          <w:szCs w:val="28"/>
        </w:rPr>
        <w:t xml:space="preserve">Строилась после Крымской войны. Расположена на </w:t>
      </w:r>
      <w:r w:rsidRPr="00F8438B">
        <w:rPr>
          <w:sz w:val="28"/>
          <w:szCs w:val="28"/>
        </w:rPr>
        <w:t>мысе </w:t>
      </w:r>
      <w:hyperlink r:id="rId13" w:tooltip="Ак-Бурун" w:history="1">
        <w:r w:rsidRPr="00F8438B">
          <w:rPr>
            <w:rFonts w:eastAsiaTheme="majorEastAsia"/>
            <w:sz w:val="28"/>
            <w:szCs w:val="28"/>
          </w:rPr>
          <w:t>Ак-Бурун</w:t>
        </w:r>
      </w:hyperlink>
      <w:r w:rsidRPr="00F8438B">
        <w:rPr>
          <w:sz w:val="28"/>
          <w:szCs w:val="28"/>
        </w:rPr>
        <w:t> на берегу </w:t>
      </w:r>
      <w:hyperlink r:id="rId14" w:tooltip="Керченский пролив" w:history="1">
        <w:r w:rsidRPr="00F8438B">
          <w:rPr>
            <w:rFonts w:eastAsiaTheme="majorEastAsia"/>
            <w:sz w:val="28"/>
            <w:szCs w:val="28"/>
          </w:rPr>
          <w:t>Керченского пролива</w:t>
        </w:r>
      </w:hyperlink>
      <w:r w:rsidRPr="00F8438B">
        <w:rPr>
          <w:sz w:val="28"/>
          <w:szCs w:val="28"/>
        </w:rPr>
        <w:t>, в самой узкой части. Крепость была построена в XIX веке для охраны южных рубежей </w:t>
      </w:r>
      <w:hyperlink r:id="rId15" w:tooltip="Российская империя" w:history="1">
        <w:r w:rsidRPr="00F8438B">
          <w:rPr>
            <w:rFonts w:eastAsiaTheme="majorEastAsia"/>
            <w:sz w:val="28"/>
            <w:szCs w:val="28"/>
          </w:rPr>
          <w:t>Российской империи</w:t>
        </w:r>
      </w:hyperlink>
      <w:r w:rsidRPr="00F8438B">
        <w:rPr>
          <w:color w:val="333333"/>
          <w:sz w:val="28"/>
          <w:szCs w:val="28"/>
        </w:rPr>
        <w:t>.</w:t>
      </w:r>
    </w:p>
    <w:p w14:paraId="2C50FB41" w14:textId="77777777" w:rsidR="0071044D" w:rsidRPr="00F8438B" w:rsidRDefault="00DA6599" w:rsidP="00B76C92">
      <w:pPr>
        <w:pStyle w:val="ac"/>
        <w:shd w:val="clear" w:color="auto" w:fill="FFFFFF"/>
        <w:spacing w:before="0" w:beforeAutospacing="0" w:after="150" w:afterAutospacing="0"/>
        <w:ind w:firstLine="720"/>
        <w:rPr>
          <w:color w:val="333333"/>
          <w:sz w:val="28"/>
          <w:szCs w:val="28"/>
        </w:rPr>
      </w:pPr>
      <w:r w:rsidRPr="00F8438B">
        <w:rPr>
          <w:color w:val="333333"/>
          <w:sz w:val="28"/>
          <w:szCs w:val="28"/>
        </w:rPr>
        <w:t xml:space="preserve">Руководил строительством </w:t>
      </w:r>
      <w:proofErr w:type="spellStart"/>
      <w:r w:rsidRPr="00F8438B">
        <w:rPr>
          <w:color w:val="333333"/>
          <w:sz w:val="28"/>
          <w:szCs w:val="28"/>
        </w:rPr>
        <w:t>Э.И.Тотлебен</w:t>
      </w:r>
      <w:proofErr w:type="spellEnd"/>
      <w:r w:rsidRPr="00F8438B">
        <w:rPr>
          <w:color w:val="333333"/>
          <w:sz w:val="28"/>
          <w:szCs w:val="28"/>
        </w:rPr>
        <w:t xml:space="preserve">. </w:t>
      </w:r>
      <w:r w:rsidR="0071044D" w:rsidRPr="00F8438B">
        <w:rPr>
          <w:color w:val="333333"/>
          <w:sz w:val="28"/>
          <w:szCs w:val="28"/>
        </w:rPr>
        <w:t xml:space="preserve">Проектировалось разместить на огневых позициях 587 орудий. Гарнизон крепости должен был составлять 5235 человек, в </w:t>
      </w:r>
      <w:proofErr w:type="spellStart"/>
      <w:r w:rsidR="0071044D" w:rsidRPr="00F8438B">
        <w:rPr>
          <w:color w:val="333333"/>
          <w:sz w:val="28"/>
          <w:szCs w:val="28"/>
        </w:rPr>
        <w:t>т.ч</w:t>
      </w:r>
      <w:proofErr w:type="spellEnd"/>
      <w:r w:rsidR="0071044D" w:rsidRPr="00F8438B">
        <w:rPr>
          <w:color w:val="333333"/>
          <w:sz w:val="28"/>
          <w:szCs w:val="28"/>
        </w:rPr>
        <w:t>. 1860 артиллеристов. До минимума было сокращено количество наземных построек.</w:t>
      </w:r>
    </w:p>
    <w:p w14:paraId="39C3AAE1" w14:textId="77777777" w:rsidR="0071044D" w:rsidRPr="0071044D" w:rsidRDefault="0071044D" w:rsidP="00B76C92">
      <w:pPr>
        <w:pStyle w:val="ac"/>
        <w:ind w:firstLine="720"/>
        <w:rPr>
          <w:color w:val="333333"/>
          <w:sz w:val="28"/>
          <w:szCs w:val="28"/>
        </w:rPr>
      </w:pPr>
      <w:r w:rsidRPr="0071044D">
        <w:rPr>
          <w:color w:val="333333"/>
          <w:sz w:val="28"/>
          <w:szCs w:val="28"/>
        </w:rPr>
        <w:t xml:space="preserve">Все жилые и не жилые помещения были казематированы за исключением домов офицерского состава, защищенных валами. Жилые помещения – казармы соединены с огневыми позициями подземными ходами - потернами, которых в крепости - километры. Трех километровый ров, простреливаемый ружейным огнем из боевых галерей и артиллерийским огнем из четырех орудийных капониров - опоясывает крепость. Создана система </w:t>
      </w:r>
      <w:proofErr w:type="spellStart"/>
      <w:r w:rsidRPr="0071044D">
        <w:rPr>
          <w:color w:val="333333"/>
          <w:sz w:val="28"/>
          <w:szCs w:val="28"/>
        </w:rPr>
        <w:t>контрминных</w:t>
      </w:r>
      <w:proofErr w:type="spellEnd"/>
      <w:r w:rsidRPr="0071044D">
        <w:rPr>
          <w:color w:val="333333"/>
          <w:sz w:val="28"/>
          <w:szCs w:val="28"/>
        </w:rPr>
        <w:t xml:space="preserve"> галерей с разветвлениями - слуховыми ходами.</w:t>
      </w:r>
    </w:p>
    <w:p w14:paraId="6149EF0D" w14:textId="77777777" w:rsidR="0071044D" w:rsidRPr="0071044D" w:rsidRDefault="0071044D" w:rsidP="00B76C92">
      <w:pPr>
        <w:pStyle w:val="ac"/>
        <w:ind w:firstLine="720"/>
        <w:rPr>
          <w:color w:val="333333"/>
          <w:sz w:val="28"/>
          <w:szCs w:val="28"/>
        </w:rPr>
      </w:pPr>
      <w:r w:rsidRPr="0071044D">
        <w:rPr>
          <w:color w:val="333333"/>
          <w:sz w:val="28"/>
          <w:szCs w:val="28"/>
        </w:rPr>
        <w:t>В ноябре 1941 года, после захвата Керчи немецкими войсками, в крепости ещё неделю продолжались бои. Защищали её небольшой гарнизон складов и остатки подразделений 51 Армии. Керчь, 15 мая 1942 года, вновь была захвачена немцами. Бои в крепости продолжались до 19 мая, все это время она подвергалась жесточайшей бомбардировке и артобстрелу. В ночь на 20 мая, при отходе советских войск, склады с боеприпасами в крепости были подорваны. </w:t>
      </w:r>
    </w:p>
    <w:p w14:paraId="21A3484D" w14:textId="6A683A0C" w:rsidR="00DA6599" w:rsidRDefault="0071044D" w:rsidP="00DA6599">
      <w:pPr>
        <w:pStyle w:val="ac"/>
        <w:shd w:val="clear" w:color="auto" w:fill="FFFFFF"/>
        <w:spacing w:before="0" w:beforeAutospacing="0" w:after="150" w:afterAutospacing="0"/>
        <w:ind w:left="720"/>
        <w:rPr>
          <w:b/>
          <w:bCs/>
          <w:color w:val="333333"/>
          <w:sz w:val="28"/>
          <w:szCs w:val="28"/>
        </w:rPr>
      </w:pPr>
      <w:r w:rsidRPr="00F8438B">
        <w:rPr>
          <w:b/>
          <w:bCs/>
          <w:color w:val="333333"/>
          <w:sz w:val="28"/>
          <w:szCs w:val="28"/>
        </w:rPr>
        <w:t>Дополнительная программа</w:t>
      </w:r>
    </w:p>
    <w:p w14:paraId="2BF0C142" w14:textId="3646E535" w:rsidR="00F8438B" w:rsidRPr="00F8438B" w:rsidRDefault="00F8438B" w:rsidP="00DA6599">
      <w:pPr>
        <w:pStyle w:val="ac"/>
        <w:shd w:val="clear" w:color="auto" w:fill="FFFFFF"/>
        <w:spacing w:before="0" w:beforeAutospacing="0" w:after="150" w:afterAutospacing="0"/>
        <w:ind w:left="720"/>
        <w:rPr>
          <w:color w:val="333333"/>
          <w:sz w:val="28"/>
          <w:szCs w:val="28"/>
        </w:rPr>
      </w:pPr>
      <w:r w:rsidRPr="00F8438B">
        <w:rPr>
          <w:color w:val="333333"/>
          <w:sz w:val="28"/>
          <w:szCs w:val="28"/>
        </w:rPr>
        <w:t>(организация обеда в кафе-столовой обсуждается)</w:t>
      </w:r>
    </w:p>
    <w:p w14:paraId="61D4A123" w14:textId="4A639BAA" w:rsidR="0071044D" w:rsidRPr="00F8438B" w:rsidRDefault="0071044D" w:rsidP="0071044D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b/>
          <w:bCs/>
          <w:color w:val="333333"/>
          <w:sz w:val="28"/>
          <w:szCs w:val="28"/>
        </w:rPr>
      </w:pPr>
      <w:r w:rsidRPr="00F8438B">
        <w:rPr>
          <w:b/>
          <w:bCs/>
          <w:color w:val="333333"/>
          <w:sz w:val="28"/>
          <w:szCs w:val="28"/>
        </w:rPr>
        <w:lastRenderedPageBreak/>
        <w:t>Центр города Керчь</w:t>
      </w:r>
    </w:p>
    <w:p w14:paraId="41F3D780" w14:textId="3C97F4A4" w:rsidR="0071044D" w:rsidRPr="00F8438B" w:rsidRDefault="0071044D" w:rsidP="00B76C92">
      <w:pPr>
        <w:pStyle w:val="ac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851"/>
        <w:rPr>
          <w:b/>
          <w:bCs/>
          <w:color w:val="333333"/>
          <w:sz w:val="28"/>
          <w:szCs w:val="28"/>
        </w:rPr>
      </w:pPr>
      <w:r w:rsidRPr="00F8438B">
        <w:rPr>
          <w:b/>
          <w:bCs/>
          <w:color w:val="333333"/>
          <w:sz w:val="28"/>
          <w:szCs w:val="28"/>
        </w:rPr>
        <w:t>Возможно посетить старейший христианский храм Иоанна Предтечи</w:t>
      </w:r>
    </w:p>
    <w:p w14:paraId="49837843" w14:textId="33DB5836" w:rsidR="0071044D" w:rsidRDefault="0071044D" w:rsidP="00B76C92">
      <w:pPr>
        <w:pStyle w:val="ac"/>
        <w:shd w:val="clear" w:color="auto" w:fill="FFFFFF"/>
        <w:spacing w:before="0" w:beforeAutospacing="0" w:after="150" w:afterAutospacing="0"/>
        <w:ind w:firstLine="851"/>
        <w:rPr>
          <w:color w:val="333333"/>
          <w:sz w:val="28"/>
          <w:szCs w:val="28"/>
        </w:rPr>
      </w:pPr>
      <w:r w:rsidRPr="00F8438B">
        <w:rPr>
          <w:color w:val="333333"/>
          <w:sz w:val="28"/>
          <w:szCs w:val="28"/>
        </w:rPr>
        <w:t>Храм является памятником </w:t>
      </w:r>
      <w:hyperlink r:id="rId16" w:tooltip="Архитектура Византии" w:history="1">
        <w:r w:rsidRPr="00F8438B">
          <w:rPr>
            <w:rStyle w:val="ad"/>
            <w:sz w:val="28"/>
            <w:szCs w:val="28"/>
          </w:rPr>
          <w:t>византийского искусства</w:t>
        </w:r>
      </w:hyperlink>
      <w:r w:rsidRPr="00F8438B">
        <w:rPr>
          <w:color w:val="333333"/>
          <w:sz w:val="28"/>
          <w:szCs w:val="28"/>
        </w:rPr>
        <w:t>. Остатки сооружения VI века (возможно, </w:t>
      </w:r>
      <w:hyperlink r:id="rId17" w:tooltip="Базилика" w:history="1">
        <w:r w:rsidRPr="00F8438B">
          <w:rPr>
            <w:rStyle w:val="ad"/>
            <w:sz w:val="28"/>
            <w:szCs w:val="28"/>
          </w:rPr>
          <w:t>базилики</w:t>
        </w:r>
      </w:hyperlink>
      <w:r w:rsidRPr="00F8438B">
        <w:rPr>
          <w:color w:val="333333"/>
          <w:sz w:val="28"/>
          <w:szCs w:val="28"/>
        </w:rPr>
        <w:t>) были использованы как основание для нового храма примерно в X веке. В XIX веке к храму пристроили </w:t>
      </w:r>
      <w:hyperlink r:id="rId18" w:tooltip="Притвор" w:history="1">
        <w:r w:rsidRPr="00F8438B">
          <w:rPr>
            <w:rStyle w:val="ad"/>
            <w:sz w:val="28"/>
            <w:szCs w:val="28"/>
          </w:rPr>
          <w:t>притворы</w:t>
        </w:r>
      </w:hyperlink>
      <w:r w:rsidRPr="00F8438B">
        <w:rPr>
          <w:color w:val="333333"/>
          <w:sz w:val="28"/>
          <w:szCs w:val="28"/>
        </w:rPr>
        <w:t> и колокольню в </w:t>
      </w:r>
      <w:proofErr w:type="spellStart"/>
      <w:r w:rsidR="00B76C92">
        <w:fldChar w:fldCharType="begin"/>
      </w:r>
      <w:r w:rsidR="00B76C92">
        <w:instrText xml:space="preserve"> HYPERLINK "https://ru.wikipedia.org/wiki/%D0%9D%D0%B5%D0%BE%D0%B2%D0%B8%D0%B7%D0%B0%D0%BD%D1%82%D0%B8%D0%B9%D1%81%D0%BA%D0%B8%D0%B9_%D1%81%D1%82%D0%B8%D0%BB%D1%8C_%D0%B2_%D1</w:instrText>
      </w:r>
      <w:r w:rsidR="00B76C92">
        <w:instrText xml:space="preserve">%80%D1%83%D1%81%D1%81%D0%BA%D0%BE%D0%B9_%D0%B0%D1%80%D1%85%D0%B8%D1%82%D0%B5%D0%BA%D1%82%D1%83%D1%80%D0%B5" \o "Неовизантийский стиль в русской архитектуре" </w:instrText>
      </w:r>
      <w:r w:rsidR="00B76C92">
        <w:fldChar w:fldCharType="separate"/>
      </w:r>
      <w:r w:rsidRPr="00F8438B">
        <w:rPr>
          <w:rStyle w:val="ad"/>
          <w:sz w:val="28"/>
          <w:szCs w:val="28"/>
        </w:rPr>
        <w:t>неовизантийском</w:t>
      </w:r>
      <w:proofErr w:type="spellEnd"/>
      <w:r w:rsidRPr="00F8438B">
        <w:rPr>
          <w:rStyle w:val="ad"/>
          <w:sz w:val="28"/>
          <w:szCs w:val="28"/>
        </w:rPr>
        <w:t xml:space="preserve"> стиле</w:t>
      </w:r>
      <w:r w:rsidR="00B76C92">
        <w:rPr>
          <w:rStyle w:val="ad"/>
          <w:sz w:val="28"/>
          <w:szCs w:val="28"/>
        </w:rPr>
        <w:fldChar w:fldCharType="end"/>
      </w:r>
      <w:r w:rsidRPr="00F8438B">
        <w:rPr>
          <w:color w:val="333333"/>
          <w:sz w:val="28"/>
          <w:szCs w:val="28"/>
        </w:rPr>
        <w:t>. При этом древняя часть храма даже после всех последующих перестроек и реконструкций сохраняет свою византийскую </w:t>
      </w:r>
      <w:hyperlink r:id="rId19" w:tooltip="Крестово-купольный храм" w:history="1">
        <w:r w:rsidRPr="00F8438B">
          <w:rPr>
            <w:rStyle w:val="ad"/>
            <w:sz w:val="28"/>
            <w:szCs w:val="28"/>
          </w:rPr>
          <w:t>крестово-купольную</w:t>
        </w:r>
      </w:hyperlink>
      <w:r w:rsidRPr="00F8438B">
        <w:rPr>
          <w:color w:val="333333"/>
          <w:sz w:val="28"/>
          <w:szCs w:val="28"/>
        </w:rPr>
        <w:t> планировку.</w:t>
      </w:r>
    </w:p>
    <w:p w14:paraId="00D3D7ED" w14:textId="5A0F5D70" w:rsidR="00B76C92" w:rsidRDefault="00B76C92" w:rsidP="00B76C92">
      <w:pPr>
        <w:pStyle w:val="ac"/>
        <w:shd w:val="clear" w:color="auto" w:fill="FFFFFF"/>
        <w:spacing w:before="0" w:beforeAutospacing="0" w:after="150" w:afterAutospacing="0"/>
        <w:ind w:firstLine="851"/>
        <w:rPr>
          <w:color w:val="333333"/>
          <w:sz w:val="28"/>
          <w:szCs w:val="28"/>
        </w:rPr>
      </w:pPr>
    </w:p>
    <w:p w14:paraId="1A807053" w14:textId="77777777" w:rsidR="00B76C92" w:rsidRPr="00F8438B" w:rsidRDefault="00B76C92" w:rsidP="00B76C92">
      <w:pPr>
        <w:pStyle w:val="ac"/>
        <w:shd w:val="clear" w:color="auto" w:fill="FFFFFF"/>
        <w:spacing w:before="0" w:beforeAutospacing="0" w:after="150" w:afterAutospacing="0"/>
        <w:ind w:firstLine="851"/>
        <w:rPr>
          <w:color w:val="333333"/>
          <w:sz w:val="28"/>
          <w:szCs w:val="28"/>
        </w:rPr>
      </w:pPr>
    </w:p>
    <w:p w14:paraId="5278DD03" w14:textId="642A8D20" w:rsidR="0071044D" w:rsidRPr="00F8438B" w:rsidRDefault="0071044D" w:rsidP="0071044D">
      <w:pPr>
        <w:pStyle w:val="ac"/>
        <w:shd w:val="clear" w:color="auto" w:fill="FFFFFF"/>
        <w:spacing w:before="0" w:beforeAutospacing="0" w:after="150" w:afterAutospacing="0"/>
        <w:ind w:left="1080"/>
        <w:rPr>
          <w:color w:val="333333"/>
          <w:sz w:val="28"/>
          <w:szCs w:val="28"/>
        </w:rPr>
      </w:pPr>
      <w:r w:rsidRPr="00F8438B">
        <w:rPr>
          <w:noProof/>
          <w:sz w:val="28"/>
          <w:szCs w:val="28"/>
        </w:rPr>
        <w:drawing>
          <wp:inline distT="0" distB="0" distL="0" distR="0" wp14:anchorId="75B9966A" wp14:editId="1BEB0BA0">
            <wp:extent cx="4146550" cy="2951429"/>
            <wp:effectExtent l="0" t="0" r="6350" b="1905"/>
            <wp:docPr id="6" name="Рисунок 6" descr="Храм Иоанна Предтечи — Азбука 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Храм Иоанна Предтечи — Азбука Крым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953" cy="295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5CE6A" w14:textId="05B958B1" w:rsidR="00D918AC" w:rsidRPr="00F8438B" w:rsidRDefault="00D918AC" w:rsidP="00DA6599">
      <w:pPr>
        <w:pStyle w:val="a7"/>
        <w:rPr>
          <w:rFonts w:ascii="Times New Roman" w:hAnsi="Times New Roman" w:cs="Times New Roman"/>
          <w:noProof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1044D" w:rsidRPr="00F843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209004" wp14:editId="0D7612BB">
            <wp:extent cx="4229100" cy="6667500"/>
            <wp:effectExtent l="0" t="0" r="0" b="0"/>
            <wp:docPr id="7" name="Рисунок 7" descr="Храм Святого Иоанна Предтечи | Кер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Храм Святого Иоанна Предтечи | Керчь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2D8D3" w14:textId="77777777" w:rsidR="0071044D" w:rsidRPr="00F8438B" w:rsidRDefault="0071044D" w:rsidP="0071044D">
      <w:pPr>
        <w:rPr>
          <w:rFonts w:ascii="Times New Roman" w:hAnsi="Times New Roman" w:cs="Times New Roman"/>
          <w:noProof/>
          <w:sz w:val="28"/>
          <w:szCs w:val="28"/>
        </w:rPr>
      </w:pPr>
    </w:p>
    <w:p w14:paraId="70093865" w14:textId="0224A321" w:rsidR="0071044D" w:rsidRPr="00F8438B" w:rsidRDefault="0071044D" w:rsidP="0071044D">
      <w:pPr>
        <w:pStyle w:val="a7"/>
        <w:numPr>
          <w:ilvl w:val="0"/>
          <w:numId w:val="3"/>
        </w:num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F8438B">
        <w:rPr>
          <w:rFonts w:ascii="Times New Roman" w:hAnsi="Times New Roman" w:cs="Times New Roman"/>
          <w:b/>
          <w:bCs/>
          <w:sz w:val="28"/>
          <w:szCs w:val="28"/>
        </w:rPr>
        <w:t xml:space="preserve">Посещение горы Митридат </w:t>
      </w:r>
    </w:p>
    <w:p w14:paraId="3576401F" w14:textId="249BCE78" w:rsidR="00863CE6" w:rsidRPr="00F8438B" w:rsidRDefault="00863CE6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>На вершине находятся руины древнегреческого города </w:t>
      </w:r>
      <w:hyperlink r:id="rId22" w:tooltip="Пантикапей" w:history="1">
        <w:r w:rsidRPr="00F8438B">
          <w:rPr>
            <w:rStyle w:val="ad"/>
            <w:rFonts w:ascii="Times New Roman" w:hAnsi="Times New Roman" w:cs="Times New Roman"/>
            <w:sz w:val="28"/>
            <w:szCs w:val="28"/>
          </w:rPr>
          <w:t>Пантикапея</w:t>
        </w:r>
      </w:hyperlink>
      <w:r w:rsidRPr="00F8438B">
        <w:rPr>
          <w:rFonts w:ascii="Times New Roman" w:hAnsi="Times New Roman" w:cs="Times New Roman"/>
          <w:sz w:val="28"/>
          <w:szCs w:val="28"/>
        </w:rPr>
        <w:t>, Мемориал воинской славы и памяти павших в годы </w:t>
      </w:r>
      <w:hyperlink r:id="rId23" w:tooltip="Великая Отечественная война" w:history="1">
        <w:r w:rsidRPr="00F8438B">
          <w:rPr>
            <w:rStyle w:val="ad"/>
            <w:rFonts w:ascii="Times New Roman" w:hAnsi="Times New Roman" w:cs="Times New Roman"/>
            <w:sz w:val="28"/>
            <w:szCs w:val="28"/>
          </w:rPr>
          <w:t>Великой Отечественной войны 1941—1945 гг.</w:t>
        </w:r>
      </w:hyperlink>
      <w:r w:rsidRPr="00F8438B">
        <w:rPr>
          <w:rFonts w:ascii="Times New Roman" w:hAnsi="Times New Roman" w:cs="Times New Roman"/>
          <w:sz w:val="28"/>
          <w:szCs w:val="28"/>
        </w:rPr>
        <w:t>, а также смотровая площадка с видом на мост через </w:t>
      </w:r>
      <w:hyperlink r:id="rId24" w:tooltip="Керченский пролив" w:history="1">
        <w:r w:rsidRPr="00F8438B">
          <w:rPr>
            <w:rStyle w:val="ad"/>
            <w:rFonts w:ascii="Times New Roman" w:hAnsi="Times New Roman" w:cs="Times New Roman"/>
            <w:sz w:val="28"/>
            <w:szCs w:val="28"/>
          </w:rPr>
          <w:t>Керченский пролив</w:t>
        </w:r>
      </w:hyperlink>
      <w:r w:rsidRPr="00F8438B">
        <w:rPr>
          <w:rFonts w:ascii="Times New Roman" w:hAnsi="Times New Roman" w:cs="Times New Roman"/>
          <w:sz w:val="28"/>
          <w:szCs w:val="28"/>
        </w:rPr>
        <w:t>, связывающий Крым с основной территорией России.</w:t>
      </w:r>
    </w:p>
    <w:p w14:paraId="4036ACF4" w14:textId="46DD70EF" w:rsidR="00863CE6" w:rsidRPr="00F8438B" w:rsidRDefault="00863CE6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>Вершина горы соединяется с центром </w:t>
      </w:r>
      <w:hyperlink r:id="rId25" w:tooltip="Большая Митридатская лестница" w:history="1">
        <w:r w:rsidRPr="00F8438B">
          <w:rPr>
            <w:rStyle w:val="ad"/>
            <w:rFonts w:ascii="Times New Roman" w:hAnsi="Times New Roman" w:cs="Times New Roman"/>
            <w:sz w:val="28"/>
            <w:szCs w:val="28"/>
          </w:rPr>
          <w:t xml:space="preserve">Большой </w:t>
        </w:r>
        <w:proofErr w:type="spellStart"/>
        <w:r w:rsidRPr="00F8438B">
          <w:rPr>
            <w:rStyle w:val="ad"/>
            <w:rFonts w:ascii="Times New Roman" w:hAnsi="Times New Roman" w:cs="Times New Roman"/>
            <w:sz w:val="28"/>
            <w:szCs w:val="28"/>
          </w:rPr>
          <w:t>Митридатской</w:t>
        </w:r>
        <w:proofErr w:type="spellEnd"/>
        <w:r w:rsidRPr="00F8438B">
          <w:rPr>
            <w:rStyle w:val="ad"/>
            <w:rFonts w:ascii="Times New Roman" w:hAnsi="Times New Roman" w:cs="Times New Roman"/>
            <w:sz w:val="28"/>
            <w:szCs w:val="28"/>
          </w:rPr>
          <w:t xml:space="preserve"> лестницей</w:t>
        </w:r>
      </w:hyperlink>
      <w:r w:rsidRPr="00F8438B">
        <w:rPr>
          <w:rFonts w:ascii="Times New Roman" w:hAnsi="Times New Roman" w:cs="Times New Roman"/>
          <w:sz w:val="28"/>
          <w:szCs w:val="28"/>
        </w:rPr>
        <w:t xml:space="preserve">, построенной в 1830-х годах в стиле классицизма по проекту </w:t>
      </w:r>
      <w:r w:rsidRPr="00F8438B">
        <w:rPr>
          <w:rFonts w:ascii="Times New Roman" w:hAnsi="Times New Roman" w:cs="Times New Roman"/>
          <w:sz w:val="28"/>
          <w:szCs w:val="28"/>
        </w:rPr>
        <w:lastRenderedPageBreak/>
        <w:t xml:space="preserve">итальянского архитектора Александра </w:t>
      </w:r>
      <w:proofErr w:type="spellStart"/>
      <w:r w:rsidRPr="00F8438B">
        <w:rPr>
          <w:rFonts w:ascii="Times New Roman" w:hAnsi="Times New Roman" w:cs="Times New Roman"/>
          <w:sz w:val="28"/>
          <w:szCs w:val="28"/>
        </w:rPr>
        <w:t>Дигби</w:t>
      </w:r>
      <w:proofErr w:type="spellEnd"/>
      <w:r w:rsidR="00B76C92">
        <w:fldChar w:fldCharType="begin"/>
      </w:r>
      <w:r w:rsidR="00B76C92">
        <w:instrText xml:space="preserve"> HYPERLINK "https://ru.wikip</w:instrText>
      </w:r>
      <w:r w:rsidR="00B76C92">
        <w:instrText xml:space="preserve">edia.org/wiki/%D0%9C%D0%B8%D1%82%D1%80%D0%B8%D0%B4%D0%B0%D1%82_(%D0%B3%D0%BE%D1%80%D0%B0,_%D0%9A%D0%B5%D1%80%D1%87%D1%8C)" \l "cite_note-rg1-10" </w:instrText>
      </w:r>
      <w:r w:rsidR="00B76C92">
        <w:fldChar w:fldCharType="separate"/>
      </w:r>
      <w:r w:rsidRPr="00F8438B">
        <w:rPr>
          <w:rStyle w:val="ad"/>
          <w:rFonts w:ascii="Times New Roman" w:hAnsi="Times New Roman" w:cs="Times New Roman"/>
          <w:sz w:val="28"/>
          <w:szCs w:val="28"/>
          <w:vertAlign w:val="superscript"/>
        </w:rPr>
        <w:t>[10]</w:t>
      </w:r>
      <w:r w:rsidR="00B76C92">
        <w:rPr>
          <w:rStyle w:val="ad"/>
          <w:rFonts w:ascii="Times New Roman" w:hAnsi="Times New Roman" w:cs="Times New Roman"/>
          <w:sz w:val="28"/>
          <w:szCs w:val="28"/>
          <w:vertAlign w:val="superscript"/>
        </w:rPr>
        <w:fldChar w:fldCharType="end"/>
      </w:r>
      <w:r w:rsidRPr="00F8438B">
        <w:rPr>
          <w:rFonts w:ascii="Times New Roman" w:hAnsi="Times New Roman" w:cs="Times New Roman"/>
          <w:sz w:val="28"/>
          <w:szCs w:val="28"/>
        </w:rPr>
        <w:t>. На вершину ведут 432 ступени</w:t>
      </w:r>
    </w:p>
    <w:p w14:paraId="18385DCE" w14:textId="77777777" w:rsidR="00863CE6" w:rsidRPr="00F8438B" w:rsidRDefault="00863CE6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77126BC1" w14:textId="5F173F47" w:rsidR="00863CE6" w:rsidRPr="00F8438B" w:rsidRDefault="00863CE6" w:rsidP="00B76C92">
      <w:pPr>
        <w:pStyle w:val="a7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F8438B">
        <w:rPr>
          <w:rFonts w:ascii="Times New Roman" w:hAnsi="Times New Roman" w:cs="Times New Roman"/>
          <w:b/>
          <w:bCs/>
          <w:sz w:val="28"/>
          <w:szCs w:val="28"/>
        </w:rPr>
        <w:t>Цена</w:t>
      </w:r>
    </w:p>
    <w:p w14:paraId="3B23145E" w14:textId="77777777" w:rsidR="00863CE6" w:rsidRPr="00F8438B" w:rsidRDefault="00863CE6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 xml:space="preserve">Проезд комфортабельный микроавтобус 20 место – </w:t>
      </w:r>
      <w:r w:rsidRPr="00F8438B">
        <w:rPr>
          <w:rFonts w:ascii="Times New Roman" w:hAnsi="Times New Roman" w:cs="Times New Roman"/>
          <w:b/>
          <w:bCs/>
          <w:sz w:val="28"/>
          <w:szCs w:val="28"/>
        </w:rPr>
        <w:t>1200 р.</w:t>
      </w:r>
      <w:r w:rsidRPr="00F8438B">
        <w:rPr>
          <w:rFonts w:ascii="Times New Roman" w:hAnsi="Times New Roman" w:cs="Times New Roman"/>
          <w:sz w:val="28"/>
          <w:szCs w:val="28"/>
        </w:rPr>
        <w:t xml:space="preserve"> (сравнение билет на автобус </w:t>
      </w:r>
      <w:proofErr w:type="spellStart"/>
      <w:r w:rsidRPr="00F8438B">
        <w:rPr>
          <w:rFonts w:ascii="Times New Roman" w:hAnsi="Times New Roman" w:cs="Times New Roman"/>
          <w:sz w:val="28"/>
          <w:szCs w:val="28"/>
        </w:rPr>
        <w:t>Симферполь</w:t>
      </w:r>
      <w:proofErr w:type="spellEnd"/>
      <w:r w:rsidRPr="00F8438B">
        <w:rPr>
          <w:rFonts w:ascii="Times New Roman" w:hAnsi="Times New Roman" w:cs="Times New Roman"/>
          <w:sz w:val="28"/>
          <w:szCs w:val="28"/>
        </w:rPr>
        <w:t>-Керчь в одну сторону 900-1000 р.)</w:t>
      </w:r>
    </w:p>
    <w:p w14:paraId="34172750" w14:textId="401ECB0F" w:rsidR="00863CE6" w:rsidRPr="00F8438B" w:rsidRDefault="00863CE6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F8438B">
        <w:rPr>
          <w:rFonts w:ascii="Times New Roman" w:hAnsi="Times New Roman" w:cs="Times New Roman"/>
          <w:sz w:val="28"/>
          <w:szCs w:val="28"/>
        </w:rPr>
        <w:t>Старокаранти</w:t>
      </w:r>
      <w:r w:rsidR="000E4F5B" w:rsidRPr="00F8438B">
        <w:rPr>
          <w:rFonts w:ascii="Times New Roman" w:hAnsi="Times New Roman" w:cs="Times New Roman"/>
          <w:sz w:val="28"/>
          <w:szCs w:val="28"/>
        </w:rPr>
        <w:t>н</w:t>
      </w:r>
      <w:r w:rsidRPr="00F8438B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Pr="00F8438B">
        <w:rPr>
          <w:rFonts w:ascii="Times New Roman" w:hAnsi="Times New Roman" w:cs="Times New Roman"/>
          <w:sz w:val="28"/>
          <w:szCs w:val="28"/>
        </w:rPr>
        <w:t xml:space="preserve"> </w:t>
      </w:r>
      <w:r w:rsidR="000E4F5B" w:rsidRPr="00F8438B">
        <w:rPr>
          <w:rFonts w:ascii="Times New Roman" w:hAnsi="Times New Roman" w:cs="Times New Roman"/>
          <w:sz w:val="28"/>
          <w:szCs w:val="28"/>
        </w:rPr>
        <w:t>к</w:t>
      </w:r>
      <w:r w:rsidRPr="00F8438B">
        <w:rPr>
          <w:rFonts w:ascii="Times New Roman" w:hAnsi="Times New Roman" w:cs="Times New Roman"/>
          <w:sz w:val="28"/>
          <w:szCs w:val="28"/>
        </w:rPr>
        <w:t>аменоломни – около 400 р. (1 час)</w:t>
      </w:r>
    </w:p>
    <w:p w14:paraId="467170D2" w14:textId="35B120A9" w:rsidR="00863CE6" w:rsidRPr="00F8438B" w:rsidRDefault="00863CE6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 xml:space="preserve">Музей </w:t>
      </w:r>
      <w:proofErr w:type="spellStart"/>
      <w:r w:rsidRPr="00F8438B">
        <w:rPr>
          <w:rFonts w:ascii="Times New Roman" w:hAnsi="Times New Roman" w:cs="Times New Roman"/>
          <w:sz w:val="28"/>
          <w:szCs w:val="28"/>
        </w:rPr>
        <w:t>Эльтигенского</w:t>
      </w:r>
      <w:proofErr w:type="spellEnd"/>
      <w:r w:rsidRPr="00F8438B">
        <w:rPr>
          <w:rFonts w:ascii="Times New Roman" w:hAnsi="Times New Roman" w:cs="Times New Roman"/>
          <w:sz w:val="28"/>
          <w:szCs w:val="28"/>
        </w:rPr>
        <w:t xml:space="preserve"> десанта -  320р. (1 час)</w:t>
      </w:r>
    </w:p>
    <w:p w14:paraId="08A3F067" w14:textId="023FA75A" w:rsidR="00863CE6" w:rsidRPr="00F8438B" w:rsidRDefault="00863CE6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 xml:space="preserve">Музей Крепость </w:t>
      </w:r>
      <w:proofErr w:type="gramStart"/>
      <w:r w:rsidRPr="00F8438B">
        <w:rPr>
          <w:rFonts w:ascii="Times New Roman" w:hAnsi="Times New Roman" w:cs="Times New Roman"/>
          <w:sz w:val="28"/>
          <w:szCs w:val="28"/>
        </w:rPr>
        <w:t>Керчь  -</w:t>
      </w:r>
      <w:proofErr w:type="gramEnd"/>
      <w:r w:rsidRPr="00F8438B">
        <w:rPr>
          <w:rFonts w:ascii="Times New Roman" w:hAnsi="Times New Roman" w:cs="Times New Roman"/>
          <w:sz w:val="28"/>
          <w:szCs w:val="28"/>
        </w:rPr>
        <w:t xml:space="preserve"> 500 р. (1,5 часа)</w:t>
      </w:r>
    </w:p>
    <w:p w14:paraId="6C50CC6E" w14:textId="0CA8B871" w:rsidR="00863CE6" w:rsidRPr="00F8438B" w:rsidRDefault="0056299B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A1459" w14:textId="77777777" w:rsidR="0056299B" w:rsidRDefault="00863CE6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 xml:space="preserve">Выезд из </w:t>
      </w:r>
      <w:r w:rsidR="000E4F5B" w:rsidRPr="00F8438B">
        <w:rPr>
          <w:rFonts w:ascii="Times New Roman" w:hAnsi="Times New Roman" w:cs="Times New Roman"/>
          <w:sz w:val="28"/>
          <w:szCs w:val="28"/>
        </w:rPr>
        <w:t>С</w:t>
      </w:r>
      <w:r w:rsidRPr="00F8438B">
        <w:rPr>
          <w:rFonts w:ascii="Times New Roman" w:hAnsi="Times New Roman" w:cs="Times New Roman"/>
          <w:sz w:val="28"/>
          <w:szCs w:val="28"/>
        </w:rPr>
        <w:t>имф</w:t>
      </w:r>
      <w:r w:rsidR="000E4F5B" w:rsidRPr="00F8438B">
        <w:rPr>
          <w:rFonts w:ascii="Times New Roman" w:hAnsi="Times New Roman" w:cs="Times New Roman"/>
          <w:sz w:val="28"/>
          <w:szCs w:val="28"/>
        </w:rPr>
        <w:t xml:space="preserve">ерополя - 7.00. </w:t>
      </w:r>
    </w:p>
    <w:p w14:paraId="62982C1E" w14:textId="1826995F" w:rsidR="0056299B" w:rsidRPr="0056299B" w:rsidRDefault="000E4F5B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>Возвращение в Симферополь – 21.00</w:t>
      </w:r>
      <w:r w:rsidR="0056299B">
        <w:rPr>
          <w:rFonts w:ascii="Times New Roman" w:hAnsi="Times New Roman" w:cs="Times New Roman"/>
          <w:sz w:val="28"/>
          <w:szCs w:val="28"/>
        </w:rPr>
        <w:t>-21.30</w:t>
      </w:r>
    </w:p>
    <w:p w14:paraId="720B5641" w14:textId="77777777" w:rsidR="0056299B" w:rsidRDefault="000E4F5B" w:rsidP="00B76C92">
      <w:pPr>
        <w:pStyle w:val="a7"/>
        <w:ind w:left="0" w:firstLine="851"/>
        <w:rPr>
          <w:rFonts w:ascii="Times New Roman" w:hAnsi="Times New Roman" w:cs="Times New Roman"/>
          <w:sz w:val="28"/>
          <w:szCs w:val="28"/>
        </w:rPr>
      </w:pPr>
      <w:r w:rsidRPr="00F8438B">
        <w:rPr>
          <w:rFonts w:ascii="Times New Roman" w:hAnsi="Times New Roman" w:cs="Times New Roman"/>
          <w:sz w:val="28"/>
          <w:szCs w:val="28"/>
        </w:rPr>
        <w:t xml:space="preserve">Время можно уточнять, корректировать, но не на много. </w:t>
      </w:r>
    </w:p>
    <w:p w14:paraId="0E8BAF9E" w14:textId="1F81EDFF" w:rsidR="000E4F5B" w:rsidRPr="0056299B" w:rsidRDefault="000E4F5B" w:rsidP="00B76C92">
      <w:pPr>
        <w:pStyle w:val="a7"/>
        <w:ind w:left="0"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56299B">
        <w:rPr>
          <w:rFonts w:ascii="Times New Roman" w:hAnsi="Times New Roman" w:cs="Times New Roman"/>
          <w:b/>
          <w:bCs/>
          <w:sz w:val="28"/>
          <w:szCs w:val="28"/>
        </w:rPr>
        <w:t xml:space="preserve">Ехать – </w:t>
      </w:r>
      <w:proofErr w:type="spellStart"/>
      <w:r w:rsidR="0056299B" w:rsidRPr="0056299B">
        <w:rPr>
          <w:rFonts w:ascii="Times New Roman" w:hAnsi="Times New Roman" w:cs="Times New Roman"/>
          <w:b/>
          <w:bCs/>
          <w:sz w:val="28"/>
          <w:szCs w:val="28"/>
        </w:rPr>
        <w:t>заначить</w:t>
      </w:r>
      <w:proofErr w:type="spellEnd"/>
      <w:r w:rsidR="0056299B" w:rsidRPr="005629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299B">
        <w:rPr>
          <w:rFonts w:ascii="Times New Roman" w:hAnsi="Times New Roman" w:cs="Times New Roman"/>
          <w:b/>
          <w:bCs/>
          <w:sz w:val="28"/>
          <w:szCs w:val="28"/>
        </w:rPr>
        <w:t xml:space="preserve">максимум </w:t>
      </w:r>
      <w:proofErr w:type="gramStart"/>
      <w:r w:rsidRPr="0056299B">
        <w:rPr>
          <w:rFonts w:ascii="Times New Roman" w:hAnsi="Times New Roman" w:cs="Times New Roman"/>
          <w:b/>
          <w:bCs/>
          <w:sz w:val="28"/>
          <w:szCs w:val="28"/>
        </w:rPr>
        <w:t>смотреть !!!</w:t>
      </w:r>
      <w:proofErr w:type="gramEnd"/>
    </w:p>
    <w:sectPr w:rsidR="000E4F5B" w:rsidRPr="00562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72318"/>
    <w:multiLevelType w:val="hybridMultilevel"/>
    <w:tmpl w:val="B22E41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8459E"/>
    <w:multiLevelType w:val="hybridMultilevel"/>
    <w:tmpl w:val="DFCC3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F3A20"/>
    <w:multiLevelType w:val="hybridMultilevel"/>
    <w:tmpl w:val="EE165306"/>
    <w:lvl w:ilvl="0" w:tplc="CF822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485E62"/>
    <w:multiLevelType w:val="hybridMultilevel"/>
    <w:tmpl w:val="8AEE2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C1"/>
    <w:rsid w:val="000E4F5B"/>
    <w:rsid w:val="00242EBE"/>
    <w:rsid w:val="003110DF"/>
    <w:rsid w:val="003C577D"/>
    <w:rsid w:val="004252C1"/>
    <w:rsid w:val="00510882"/>
    <w:rsid w:val="0056299B"/>
    <w:rsid w:val="0071044D"/>
    <w:rsid w:val="00863CE6"/>
    <w:rsid w:val="00B76C92"/>
    <w:rsid w:val="00D918AC"/>
    <w:rsid w:val="00DA6599"/>
    <w:rsid w:val="00ED5B5F"/>
    <w:rsid w:val="00F8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3825"/>
  <w15:chartTrackingRefBased/>
  <w15:docId w15:val="{6CC9317E-7BBE-464A-8CF8-06EDB711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5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25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25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5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52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52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52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52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52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52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5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5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5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5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52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52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52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5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52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252C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9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D918AC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918A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5108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00050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kerch.ru/wp-content/uploads/2024/08/starokarantinskie-kamenolomni-vhod-3.jpg" TargetMode="External"/><Relationship Id="rId13" Type="http://schemas.openxmlformats.org/officeDocument/2006/relationships/hyperlink" Target="https://ru.wikipedia.org/wiki/%D0%90%D0%BA-%D0%91%D1%83%D1%80%D1%83%D0%BD" TargetMode="External"/><Relationship Id="rId18" Type="http://schemas.openxmlformats.org/officeDocument/2006/relationships/hyperlink" Target="https://ru.wikipedia.org/wiki/%D0%9F%D1%80%D0%B8%D1%82%D0%B2%D0%BE%D1%8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hyperlink" Target="https://ru.wikipedia.org/wiki/%D0%91%D0%B0%D0%B7%D0%B8%D0%BB%D0%B8%D0%BA%D0%B0" TargetMode="External"/><Relationship Id="rId25" Type="http://schemas.openxmlformats.org/officeDocument/2006/relationships/hyperlink" Target="https://ru.wikipedia.org/wiki/%D0%91%D0%BE%D0%BB%D1%8C%D1%88%D0%B0%D1%8F_%D0%9C%D0%B8%D1%82%D1%80%D0%B8%D0%B4%D0%B0%D1%82%D1%81%D0%BA%D0%B0%D1%8F_%D0%BB%D0%B5%D1%81%D1%82%D0%BD%D0%B8%D1%86%D0%B0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1%80%D1%85%D0%B8%D1%82%D0%B5%D0%BA%D1%82%D1%83%D1%80%D0%B0_%D0%92%D0%B8%D0%B7%D0%B0%D0%BD%D1%82%D0%B8%D0%B8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https://ru.wikipedia.org/wiki/%D0%9A%D0%B5%D1%80%D1%87%D0%B5%D0%BD%D1%81%D0%BA%D0%B8%D0%B9_%D0%BF%D1%80%D0%BE%D0%BB%D0%B8%D0%B2" TargetMode="External"/><Relationship Id="rId5" Type="http://schemas.openxmlformats.org/officeDocument/2006/relationships/hyperlink" Target="https://4kerch.ru/history/ussr/volodya-dubinin.html" TargetMode="External"/><Relationship Id="rId15" Type="http://schemas.openxmlformats.org/officeDocument/2006/relationships/hyperlink" Target="https://ru.wikipedia.org/wiki/%D0%A0%D0%BE%D1%81%D1%81%D0%B8%D0%B9%D1%81%D0%BA%D0%B0%D1%8F_%D0%B8%D0%BC%D0%BF%D0%B5%D1%80%D0%B8%D1%8F" TargetMode="External"/><Relationship Id="rId23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ru.wikipedia.org/wiki/%D0%9A%D1%80%D0%B5%D1%81%D1%82%D0%BE%D0%B2%D0%BE-%D0%BA%D1%83%D0%BF%D0%BE%D0%BB%D1%8C%D0%BD%D1%8B%D0%B9_%D1%85%D1%80%D0%B0%D0%B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ru.wikipedia.org/wiki/%D0%9A%D0%B5%D1%80%D1%87%D0%B5%D0%BD%D1%81%D0%BA%D0%B8%D0%B9_%D0%BF%D1%80%D0%BE%D0%BB%D0%B8%D0%B2" TargetMode="External"/><Relationship Id="rId22" Type="http://schemas.openxmlformats.org/officeDocument/2006/relationships/hyperlink" Target="https://ru.wikipedia.org/wiki/%D0%9F%D0%B0%D0%BD%D1%82%D0%B8%D0%BA%D0%B0%D0%BF%D0%B5%D0%B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Omelchenko</dc:creator>
  <cp:keywords/>
  <dc:description/>
  <cp:lastModifiedBy>ПК-2</cp:lastModifiedBy>
  <cp:revision>6</cp:revision>
  <dcterms:created xsi:type="dcterms:W3CDTF">2025-03-13T08:45:00Z</dcterms:created>
  <dcterms:modified xsi:type="dcterms:W3CDTF">2025-05-16T08:44:00Z</dcterms:modified>
</cp:coreProperties>
</file>