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32" w:rsidRPr="00933B65" w:rsidRDefault="00353732" w:rsidP="004A722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</w:pPr>
      <w:r w:rsidRPr="00933B6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700217" cy="853778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89" cy="8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732" w:rsidRPr="00933B65" w:rsidRDefault="00353732" w:rsidP="0035373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</w:p>
    <w:p w:rsidR="00353732" w:rsidRPr="00933B65" w:rsidRDefault="00353732" w:rsidP="003537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  <w:r w:rsidRPr="00933B6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  <w:t>АДМИНИСТРАЦИЯ СИМФЕРОПОЛЬСКОГО РАЙОНА</w:t>
      </w:r>
    </w:p>
    <w:p w:rsidR="00353732" w:rsidRPr="00933B65" w:rsidRDefault="00353732" w:rsidP="003537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  <w:r w:rsidRPr="00933B6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  <w:t>РЕСПУБЛИКИ КРЫМ</w:t>
      </w:r>
    </w:p>
    <w:p w:rsidR="00353732" w:rsidRPr="00933B65" w:rsidRDefault="00353732" w:rsidP="003537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</w:pPr>
      <w:r w:rsidRPr="00933B6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>УПРАВЛЕНИЕ ОБРАЗОВАНИЯ</w:t>
      </w:r>
    </w:p>
    <w:p w:rsidR="00353732" w:rsidRPr="00933B65" w:rsidRDefault="00353732" w:rsidP="003537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</w:p>
    <w:p w:rsidR="00353732" w:rsidRPr="00933B65" w:rsidRDefault="00353732" w:rsidP="00353732">
      <w:pPr>
        <w:suppressAutoHyphens/>
        <w:spacing w:after="0" w:line="240" w:lineRule="auto"/>
        <w:ind w:left="4247" w:firstLine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  <w:r w:rsidRPr="00933B6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  <w:t>ПРИКАЗ</w:t>
      </w:r>
    </w:p>
    <w:p w:rsidR="00353732" w:rsidRPr="00933B65" w:rsidRDefault="00353732" w:rsidP="003537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3306"/>
        <w:gridCol w:w="3306"/>
        <w:gridCol w:w="3306"/>
      </w:tblGrid>
      <w:tr w:rsidR="00353732" w:rsidRPr="00933B65" w:rsidTr="006A18EF">
        <w:trPr>
          <w:trHeight w:val="425"/>
          <w:jc w:val="center"/>
        </w:trPr>
        <w:tc>
          <w:tcPr>
            <w:tcW w:w="3306" w:type="dxa"/>
            <w:hideMark/>
          </w:tcPr>
          <w:p w:rsidR="00353732" w:rsidRPr="00933B65" w:rsidRDefault="00353732" w:rsidP="006A18EF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>20.05.2020</w:t>
            </w:r>
          </w:p>
        </w:tc>
        <w:tc>
          <w:tcPr>
            <w:tcW w:w="3306" w:type="dxa"/>
            <w:hideMark/>
          </w:tcPr>
          <w:p w:rsidR="00353732" w:rsidRPr="00933B65" w:rsidRDefault="00353732" w:rsidP="006A18EF">
            <w:pPr>
              <w:suppressAutoHyphens/>
              <w:spacing w:after="0" w:line="240" w:lineRule="auto"/>
              <w:ind w:left="269"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</w:pPr>
            <w:r w:rsidRPr="00933B65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 xml:space="preserve"> г. Симферополь</w:t>
            </w:r>
          </w:p>
        </w:tc>
        <w:tc>
          <w:tcPr>
            <w:tcW w:w="3306" w:type="dxa"/>
            <w:hideMark/>
          </w:tcPr>
          <w:p w:rsidR="00353732" w:rsidRPr="00933B65" w:rsidRDefault="00353732" w:rsidP="006A18EF">
            <w:pPr>
              <w:suppressAutoHyphens/>
              <w:spacing w:after="0" w:line="240" w:lineRule="auto"/>
              <w:ind w:right="175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>№ 310</w:t>
            </w:r>
          </w:p>
        </w:tc>
      </w:tr>
    </w:tbl>
    <w:p w:rsidR="00353732" w:rsidRPr="00933B65" w:rsidRDefault="00353732" w:rsidP="003537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</w:p>
    <w:p w:rsidR="00353732" w:rsidRPr="00933B65" w:rsidRDefault="00353732" w:rsidP="0035373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 w:eastAsia="ru-RU"/>
        </w:rPr>
      </w:pPr>
      <w:r w:rsidRPr="00933B65"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 w:eastAsia="ru-RU"/>
        </w:rPr>
        <w:t xml:space="preserve">Об изучении качества предоставляемых образовательных услуг </w:t>
      </w:r>
    </w:p>
    <w:p w:rsidR="00353732" w:rsidRPr="00933B65" w:rsidRDefault="00353732" w:rsidP="0035373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 w:eastAsia="ru-RU"/>
        </w:rPr>
      </w:pPr>
      <w:r w:rsidRPr="00933B65"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 w:eastAsia="ru-RU"/>
        </w:rPr>
        <w:t>по предмету «</w:t>
      </w: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 w:eastAsia="ru-RU"/>
        </w:rPr>
        <w:t>Информатика</w:t>
      </w:r>
      <w:r w:rsidRPr="00933B65"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 w:eastAsia="ru-RU"/>
        </w:rPr>
        <w:t>»</w:t>
      </w:r>
    </w:p>
    <w:p w:rsidR="00353732" w:rsidRPr="00933B65" w:rsidRDefault="00353732" w:rsidP="004A722F">
      <w:pPr>
        <w:tabs>
          <w:tab w:val="left" w:pos="709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</w:p>
    <w:p w:rsidR="00353732" w:rsidRPr="00933B65" w:rsidRDefault="00353732" w:rsidP="004A722F">
      <w:pPr>
        <w:spacing w:after="0" w:line="240" w:lineRule="auto"/>
        <w:ind w:left="-284"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933B6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В соответствии с годовым планом работы управления образования администрации Симферопольского района, МБОУ ДО «ЦДЮТ» на 2019/2020 учебный год 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изучено качество предоставляемых образоват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ельных услуг по предмету «Информатика</w:t>
      </w:r>
      <w:r w:rsidR="00A74C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ИКТ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» в школах Симферопольского района.</w:t>
      </w:r>
    </w:p>
    <w:p w:rsidR="00353732" w:rsidRPr="00933B65" w:rsidRDefault="00353732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33B6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Изучены и проанализированы следующие вопросы: 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кадровый состав учителей, материальная и учебно-методическая база по предмету, учебн</w:t>
      </w:r>
      <w:r w:rsidR="00A74CAD">
        <w:rPr>
          <w:rFonts w:ascii="Times New Roman" w:hAnsi="Times New Roman" w:cs="Times New Roman"/>
          <w:color w:val="auto"/>
          <w:sz w:val="24"/>
          <w:szCs w:val="24"/>
          <w:lang w:val="ru-RU"/>
        </w:rPr>
        <w:t>ые достижения учащихся по информатике и ИКТ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, формирование общеучебных умений и навыков (посещение уроков), контроль администрации за качеством предос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тавляемых образовательных услуг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353732" w:rsidRPr="004A722F" w:rsidRDefault="00353732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Преподавание информатики в</w:t>
      </w:r>
      <w:r w:rsidRP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Симферопольском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 районе осуществляется во</w:t>
      </w:r>
      <w:r w:rsidRP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всех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 общеобразовательных учреждениях района.</w:t>
      </w:r>
    </w:p>
    <w:p w:rsidR="00353732" w:rsidRPr="004A722F" w:rsidRDefault="00353732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В 7-9 классах по ФГОС</w:t>
      </w:r>
      <w:r w:rsidR="00A74C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«Информатика»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 и по ФКГОС «Информатика и ИКТ» в 10-11 классах.</w:t>
      </w:r>
    </w:p>
    <w:p w:rsidR="00353732" w:rsidRPr="004A722F" w:rsidRDefault="00353732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В 2019/2020 учебном году в 38 ОУ Симферопольского района информатику преподает41 учитель.</w:t>
      </w:r>
    </w:p>
    <w:p w:rsidR="00B7629E" w:rsidRDefault="00353732" w:rsidP="00B7629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Анализ кадрового состава учителей информатики показал следующее: </w:t>
      </w:r>
    </w:p>
    <w:p w:rsidR="00353732" w:rsidRPr="004A722F" w:rsidRDefault="00353732" w:rsidP="00B7629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26 человек (65%) имеют соответствующую специальность по диплому;  </w:t>
      </w:r>
    </w:p>
    <w:p w:rsidR="00353732" w:rsidRPr="004A722F" w:rsidRDefault="00353732" w:rsidP="00B7629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4 человека (10 %) имеют специальность по диплому «</w:t>
      </w:r>
      <w:r w:rsidR="004A722F" w:rsidRP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>М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атематик»;  </w:t>
      </w:r>
    </w:p>
    <w:p w:rsidR="00353732" w:rsidRPr="004A722F" w:rsidRDefault="00353732" w:rsidP="00B7629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3 человека (8%) имеют специальность по диплому «</w:t>
      </w:r>
      <w:r w:rsidR="004A722F" w:rsidRP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>Ф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>изик»;</w:t>
      </w:r>
    </w:p>
    <w:p w:rsidR="00353732" w:rsidRPr="004A722F" w:rsidRDefault="00353732" w:rsidP="00B7629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8 человек (20%) имеют другое педагогическое образование. </w:t>
      </w:r>
    </w:p>
    <w:p w:rsidR="00353732" w:rsidRPr="004A722F" w:rsidRDefault="00353732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bCs/>
          <w:color w:val="auto"/>
          <w:sz w:val="24"/>
          <w:szCs w:val="24"/>
        </w:rPr>
        <w:t>Кадровый состав соответствует требованиям. Все учителя проходят</w:t>
      </w:r>
      <w:r w:rsidR="00B7629E" w:rsidRPr="00B7629E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 w:rsidRPr="004A722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своевременно курсы повышения квалификации, организованные Крымским Республиканским институтом постдипломного </w:t>
      </w:r>
      <w:r w:rsidR="004A722F" w:rsidRPr="004A722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педагогического </w:t>
      </w:r>
      <w:r w:rsidRPr="004A722F">
        <w:rPr>
          <w:rFonts w:ascii="Times New Roman" w:hAnsi="Times New Roman" w:cs="Times New Roman"/>
          <w:bCs/>
          <w:color w:val="auto"/>
          <w:sz w:val="24"/>
          <w:szCs w:val="24"/>
        </w:rPr>
        <w:t>образования в соответствии с планом.</w:t>
      </w:r>
    </w:p>
    <w:p w:rsidR="00353732" w:rsidRPr="004A722F" w:rsidRDefault="00353732" w:rsidP="004A722F">
      <w:pPr>
        <w:tabs>
          <w:tab w:val="left" w:pos="993"/>
        </w:tabs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Анализ кадрового состава учителей информатики показывает, что 65%  учителей имеют образование по специальности «Информатика», из них 42% учителей имеют первую и высшую категории. Качественный состав учителей — это молодые и малоопытные специалисты, не имеющие опыта преподавания, поэтому усилия методической службы были направлены на повышение профессионального мастерства педагогов, овладение ими методикой преподавания данного предмета с целью качественной организации учебно-воспитательного процесса.</w:t>
      </w:r>
    </w:p>
    <w:p w:rsidR="003917A7" w:rsidRPr="004A722F" w:rsidRDefault="003917A7" w:rsidP="004A722F">
      <w:pPr>
        <w:tabs>
          <w:tab w:val="left" w:pos="993"/>
        </w:tabs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условиях перехода на новую образовательную систему (внедрение ФГОС) одним из приоритетных вопросов стал вопрос повышения профессиональной компетенции педагогических кадров. Повышение квалификации в межкурсовой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период 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направлено на профессиональное совершенствование, освоение новых методов, технологий и элементов 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профессиональной деятельности, формирование профессионально-личностных компетенций. С целью повышения мето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дического уровня учителей и</w:t>
      </w:r>
      <w:r w:rsid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форматики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районе создана и эффективно функционирует</w:t>
      </w:r>
      <w:r w:rsidR="00B7629E" w:rsidRPr="00B762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система методической работы, включающая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следующие формы (в период с 2015 г. по 2020 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г. проведено):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>15 заседаний РМО, 17 заседаний ШМУ, 6 –СП и 2 мастер-класса.</w:t>
      </w:r>
    </w:p>
    <w:p w:rsidR="003917A7" w:rsidRPr="004A722F" w:rsidRDefault="003917A7" w:rsidP="004A722F">
      <w:pPr>
        <w:tabs>
          <w:tab w:val="left" w:pos="993"/>
        </w:tabs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Таким образом, работа методической службы района направлена на развитие творческого потенциала педагога, повышения уровня профессиональной квалификации через освоение передовых технологий и методик обучения</w:t>
      </w:r>
      <w:r w:rsidRP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3917A7" w:rsidRPr="004A722F" w:rsidRDefault="003917A7" w:rsidP="004A722F">
      <w:pPr>
        <w:pStyle w:val="a4"/>
        <w:ind w:lef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2F">
        <w:rPr>
          <w:rFonts w:ascii="Times New Roman" w:hAnsi="Times New Roman" w:cs="Times New Roman"/>
          <w:sz w:val="24"/>
          <w:szCs w:val="24"/>
        </w:rPr>
        <w:t>Качество образовательного процесса по информатике и ИКТ напрямую зависит от материально-технической оснащенности кабинета. По состоянию на январь 2020 года все образовательные учреждения района обеспечены компьютерной техникой для преподавания предмета. Всего в районе 38 школ имеют кабинеты информатики, в 8 школах по 2 кабинета (МБОУ: «Гвардейская школа №1» (Шепченко А.И.), Гвардейская школа-гимназия №2» (Богданова Е.В.), «Гвардейская школа</w:t>
      </w:r>
      <w:r w:rsidR="004A722F">
        <w:rPr>
          <w:rFonts w:ascii="Times New Roman" w:hAnsi="Times New Roman" w:cs="Times New Roman"/>
          <w:sz w:val="24"/>
          <w:szCs w:val="24"/>
        </w:rPr>
        <w:t>-гимназия</w:t>
      </w:r>
      <w:r w:rsidRPr="004A722F">
        <w:rPr>
          <w:rFonts w:ascii="Times New Roman" w:hAnsi="Times New Roman" w:cs="Times New Roman"/>
          <w:sz w:val="24"/>
          <w:szCs w:val="24"/>
        </w:rPr>
        <w:t xml:space="preserve"> №3 (Цимбал М.Б.), «Добровская школа-гимназия им. Я.М.Слонимского (Федорченко Н.Б.), «Перовская школа-гимназия» (Володина Л.Д.), «Чистенская школа-гимназия» (Котолупова Л.Г.), «Кольчугинская</w:t>
      </w:r>
      <w:r w:rsidR="002A3303">
        <w:rPr>
          <w:rFonts w:ascii="Times New Roman" w:hAnsi="Times New Roman" w:cs="Times New Roman"/>
          <w:sz w:val="24"/>
          <w:szCs w:val="24"/>
        </w:rPr>
        <w:t xml:space="preserve"> школа №1» (Лущик О.А.)</w:t>
      </w:r>
      <w:r w:rsidRPr="004A722F">
        <w:rPr>
          <w:rFonts w:ascii="Times New Roman" w:hAnsi="Times New Roman" w:cs="Times New Roman"/>
          <w:sz w:val="24"/>
          <w:szCs w:val="24"/>
        </w:rPr>
        <w:t xml:space="preserve">. Обеспеченность кабинетов оборудованием в среднем </w:t>
      </w:r>
      <w:r w:rsidRPr="004A722F">
        <w:rPr>
          <w:rFonts w:ascii="Times New Roman" w:hAnsi="Times New Roman" w:cs="Times New Roman"/>
          <w:b/>
          <w:sz w:val="24"/>
          <w:szCs w:val="24"/>
        </w:rPr>
        <w:t>по району составляет 78%, что позволяет выполнять практическую часть на достаточном уровне.</w:t>
      </w:r>
    </w:p>
    <w:p w:rsidR="003917A7" w:rsidRPr="004A722F" w:rsidRDefault="003917A7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МТБ выше среднего уровня обеспеченности имеют следующие МБОУ:«Гвардейская школа №1» - 100% (Шепченко А.И.), "Гвардейская школа-гимназия №2" – 79% (Богданова Е.В.), «Денисовская школа» - 80% (Иванушкина А.А.),  «Кольчугинская школа №2 с крымскотатарским языком обучения» - 85% (Асанова У.С.), «Добровская школа-гимназия им. Я.М.Слонимского» - 80% (Федорченко Н.Б.), «Константиновская школа» - 83% (Маршалок М.В.), «Молодежненская школа №2» - 90% (Донец Л.А.), «Укромновская школа» - 80% (Куртсеитова Е.В.), «Урожайновская школа» - 88% (Сидоренко В.Г.), «Чайкинская школа» - 85% (Дамадаева О.А.), «Чистенская школа-гимназия» - 100% (Котолупова Л.Г.).</w:t>
      </w:r>
    </w:p>
    <w:p w:rsidR="003917A7" w:rsidRPr="004A722F" w:rsidRDefault="003917A7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 Ниже среднего уровня оснащены кабинеты информатики (менее 50%) в следующих МБОУ: "Клёновскаяо </w:t>
      </w:r>
      <w:r w:rsidR="00B7629E"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>сновная школа" – 40% (Каневская А.А.),«Кубанская школа» - 40% (Скуратовская Н.В.).</w:t>
      </w:r>
    </w:p>
    <w:p w:rsidR="003917A7" w:rsidRPr="004A722F" w:rsidRDefault="003917A7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На всех компьютерах ОУ установлено лицензионное программное обеспечение, либо пробная условно-бесплатная версия: операционная система Windows, пакет MS Office, переводчик Pragma, архиватор и</w:t>
      </w:r>
      <w:r w:rsidRP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средства визуального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 программирования FreePascal. Однако, в МБОУ «Перовская школа-гимназия» истек срок лицензии и используется программное обеспечение пакет MS Office с ограниченными функциями.</w:t>
      </w:r>
    </w:p>
    <w:p w:rsidR="003917A7" w:rsidRPr="004A722F" w:rsidRDefault="003917A7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Необходимо отметить, что согласно международной Конвенции о киберпреступности, п.11.1 Постановления координационного совещания руководителей правоохранительных органов Республики Крым по противодействию экстремизму и терроризму от 19.06.2014 №3</w:t>
      </w:r>
      <w:r w:rsidRPr="004A722F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во всех образовательных учреждениях 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>принят исчерпывающий комплекс мер, направленны</w:t>
      </w:r>
      <w:r w:rsid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й </w:t>
      </w:r>
      <w:r w:rsidRPr="004A722F">
        <w:rPr>
          <w:rFonts w:ascii="Times New Roman" w:hAnsi="Times New Roman" w:cs="Times New Roman"/>
          <w:color w:val="auto"/>
          <w:sz w:val="24"/>
          <w:szCs w:val="24"/>
        </w:rPr>
        <w:t xml:space="preserve">на исключение доступа к Интернет-ресурсам, содержащим контент, который причиняет вред здоровью и развитию детей, используя классификатор информации, </w:t>
      </w:r>
      <w:r w:rsidRPr="004A722F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запрещенной законодательством Российской Федерации.</w:t>
      </w:r>
    </w:p>
    <w:p w:rsidR="004A722F" w:rsidRDefault="003917A7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Таким образом, МТБ по району составляет 78%. Наметилась тенденция обновления в оформлении кабинетов информатики, пополнение учебным оборудованием. Первоочередным является, безусловно, обновление устаревшей компьютерной техники.</w:t>
      </w:r>
    </w:p>
    <w:p w:rsidR="006F722B" w:rsidRPr="004A722F" w:rsidRDefault="006F722B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образовательные учреждения обеспечены учебниками в полном объеме (оснащенность </w:t>
      </w:r>
      <w:r w:rsidR="00BC23B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учебниками </w:t>
      </w: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составляет 100%).</w:t>
      </w:r>
    </w:p>
    <w:p w:rsidR="00C8614B" w:rsidRPr="004A722F" w:rsidRDefault="00C8614B" w:rsidP="004A72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933B6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 xml:space="preserve">Основным показателем качества обучения по предмету является уровень учебных достижений. 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  <w:lang w:val="ru-RU"/>
        </w:rPr>
        <w:t>З</w:t>
      </w:r>
      <w:r w:rsidRPr="00933B65">
        <w:rPr>
          <w:rFonts w:ascii="Times New Roman" w:hAnsi="Times New Roman" w:cs="Times New Roman"/>
          <w:bCs/>
          <w:iCs/>
          <w:color w:val="auto"/>
          <w:sz w:val="24"/>
          <w:szCs w:val="24"/>
          <w:lang w:val="ru-RU"/>
        </w:rPr>
        <w:t xml:space="preserve">а пятилетний период средний показатель качества знаний </w:t>
      </w:r>
      <w:r w:rsidR="004A722F">
        <w:rPr>
          <w:rFonts w:ascii="Times New Roman" w:hAnsi="Times New Roman" w:cs="Times New Roman"/>
          <w:bCs/>
          <w:iCs/>
          <w:color w:val="auto"/>
          <w:sz w:val="24"/>
          <w:szCs w:val="24"/>
          <w:lang w:val="ru-RU"/>
        </w:rPr>
        <w:t xml:space="preserve">по предмету </w:t>
      </w:r>
      <w:r w:rsidRPr="00933B65">
        <w:rPr>
          <w:rFonts w:ascii="Times New Roman" w:hAnsi="Times New Roman" w:cs="Times New Roman"/>
          <w:bCs/>
          <w:iCs/>
          <w:color w:val="auto"/>
          <w:sz w:val="24"/>
          <w:szCs w:val="24"/>
          <w:lang w:val="ru-RU"/>
        </w:rPr>
        <w:t>состав</w:t>
      </w:r>
      <w:r w:rsidR="00B7629E">
        <w:rPr>
          <w:rFonts w:ascii="Times New Roman" w:hAnsi="Times New Roman" w:cs="Times New Roman"/>
          <w:bCs/>
          <w:iCs/>
          <w:color w:val="auto"/>
          <w:sz w:val="24"/>
          <w:szCs w:val="24"/>
          <w:lang w:val="ru-RU"/>
        </w:rPr>
        <w:t xml:space="preserve">ляет </w:t>
      </w:r>
      <w:r w:rsidR="00B7629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от 70% до </w:t>
      </w:r>
      <w:r w:rsidRPr="004A722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80%.</w:t>
      </w:r>
    </w:p>
    <w:p w:rsidR="00C8614B" w:rsidRPr="004A722F" w:rsidRDefault="00C8614B" w:rsidP="004A722F">
      <w:p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В 2019-2020 уч. году был проведен мониторинг по информатике и ИКТ 9, 10 классах в школах Симферопольского района с целью организации контроля качества преподавания</w:t>
      </w:r>
      <w:r w:rsidR="004A722F" w:rsidRPr="004A72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предмета.</w:t>
      </w:r>
    </w:p>
    <w:p w:rsidR="00C8614B" w:rsidRPr="004A722F" w:rsidRDefault="00C8614B" w:rsidP="004A722F">
      <w:p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В мониторинге по информатике и ИКТ приняли участие 1081 обучающихся (всего 1226 обучающихся в 9-х классах) в 38МБОУ Симферопольского района, 519 обучающийся (всего 678 в 10-х классах) в 35 МБОУ Симферопольского района.</w:t>
      </w:r>
    </w:p>
    <w:p w:rsidR="00C8614B" w:rsidRPr="004A722F" w:rsidRDefault="00C8614B" w:rsidP="004A722F">
      <w:p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По результатам мониторинга средний балл выполнения работ у обучающихся 9-х классов составил 3,5 балла, что на 0,4 балла ниже, чем средний балл второй четверти 2019 года в этих же классах; средний балл выполнения работ у обучающихся 10-х классовсоставил 3,8 балла, что на 0,3 балла ниже, чем средний балл первого полугодия 2019 года в этих же классах.</w:t>
      </w:r>
    </w:p>
    <w:p w:rsidR="00C8614B" w:rsidRPr="004A722F" w:rsidRDefault="00C8614B" w:rsidP="004A722F">
      <w:p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722F">
        <w:rPr>
          <w:rFonts w:ascii="Times New Roman" w:hAnsi="Times New Roman" w:cs="Times New Roman"/>
          <w:color w:val="auto"/>
          <w:sz w:val="24"/>
          <w:szCs w:val="24"/>
        </w:rPr>
        <w:t>УУД по предмету информатика по Симферопольскому району составляет 3,9 балла (69%) за вторую четвертьв 9-х классах и 4,1 балла по итогам первого полугодия 2019-2020 уч. года – 4,1 балла (80%) в 10-х классах.</w:t>
      </w:r>
    </w:p>
    <w:p w:rsidR="00C8614B" w:rsidRPr="00DC3BB5" w:rsidRDefault="00C8614B" w:rsidP="004A722F">
      <w:p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Выше районного показателя уровень выполнения мониторинговой работы у обучающихся 9 классов в следующих МБОУ: «Винницкая школа» -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4,6 б. (94,1%)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Васильченко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Д.А.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97,1%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«Кленовская основная школа» - 3,9 б (70</w:t>
      </w:r>
      <w:proofErr w:type="gramStart"/>
      <w:r w:rsidRPr="00DC3BB5">
        <w:rPr>
          <w:rFonts w:ascii="Times New Roman" w:hAnsi="Times New Roman" w:cs="Times New Roman"/>
          <w:color w:val="auto"/>
          <w:sz w:val="24"/>
          <w:szCs w:val="24"/>
        </w:rPr>
        <w:t>%)  (</w:t>
      </w:r>
      <w:proofErr w:type="gramEnd"/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Каневская А.А.), В+Д - 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100%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«Кольчугинская школа №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2» - 4,0б. (69,6%)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Яковлева А.А.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 – В+Д – 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4,1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73,9%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«Кольчугинская школа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№1» - 3,7 б. (55,9%)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Ильяшенко О.В.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4,0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73,5%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«Мирновская школа №2»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- 3,6 б. (48,6%)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Арбузова А.А.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4,1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74,3%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«Новоандреевская школа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» - 3,8б. (61,5%)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Дорошевич А.Е.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), В+Д –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4,5 б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96,2%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«Новоселовская шк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ола» - 3,8 б. (50%)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Ватолин А.Ф.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3,6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56,3%</w:t>
      </w:r>
      <w:r w:rsidR="00DA6646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«Перевальненская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школа» – 3,7 б. (70%)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Алабина А.О.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01B3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4,0 б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73,3%</w:t>
      </w:r>
      <w:r w:rsidR="00001B3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«Укромновская школа»-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3,8 б.(61,5%)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Бекиров Н.М.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01B3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3,9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76,9%</w:t>
      </w:r>
      <w:r w:rsidR="00001B3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 «Родниковская школа-гимнази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я» -4,1б.(54,3%)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Асеева-Земцова А.А.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01B3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4,2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93,5%</w:t>
      </w:r>
      <w:r w:rsidR="00001B3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у обучающихся 10 классов в следующих МБОУ:  «Гвардейская школа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№1» - 4,3б. (87%)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Вишнянчина Т.П.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87,0%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 «Гвардейская школа-гимназия №2»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- 4,2 б. (83,9%)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Балабанюк А.И.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4,2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83,9%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 «Гвардейская школа-гимназия №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3» - 4,2 б. (91,7%)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Сейтхалилова З.Э.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), В+Д –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4,7 б.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91,7%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 «Денисовская школа» - 4,1 б. (81,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8%)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Шакотько Т.В.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3,8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72,7%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«Журавлевская школа» - 4,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2 б. (90,9%)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Куртсеитова Э.Б.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4,5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100%</w:t>
      </w:r>
      <w:r w:rsidR="006F4652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«Кольчугинская школа №2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» - 4,1 б. (81,8%)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Яковлева А.А.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4,4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81,8%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 «Мазанская школа»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- 3,9 б. (63,6%)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Хамицевич С.В.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4,0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81,8%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«Мирновская школа №2»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- 3,9 б. (78,6%)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Арбузова А.А.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4,1 б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85,7%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 «Новоандреевская школа»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- 4,1 б. (92,9%)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Дорошевич А.Е.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4,5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85,7%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,«Николаевская школа»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- 4,0 б. (75%)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Обищенко Л.Л.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87,5%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«Перевальненская шко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ла» - 4,0 б. (82,9%)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Алабина А.О.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4,1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85%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,«Родниковская школа-гимназия»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- 4,0 б. (85,7%)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Асеева-Земцова А.А.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100%</w:t>
      </w:r>
      <w:r w:rsidR="0073237C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«Скворцовская школа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» - 4,1 б. (71,4%)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Куртаметов Р.Р.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4C35D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4,1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71,4%</w:t>
      </w:r>
      <w:r w:rsidR="004C35D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«Урожайновская школа» </w:t>
      </w:r>
      <w:r w:rsidR="001A33B3" w:rsidRPr="00DC3BB5">
        <w:rPr>
          <w:rFonts w:ascii="Times New Roman" w:hAnsi="Times New Roman" w:cs="Times New Roman"/>
          <w:color w:val="auto"/>
          <w:sz w:val="24"/>
          <w:szCs w:val="24"/>
        </w:rPr>
        <w:t>- 4,1 б. (84,6%)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Чимирис Л.В.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4C35D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92,3%</w:t>
      </w:r>
      <w:r w:rsidR="004C35D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614B" w:rsidRPr="00DC3BB5" w:rsidRDefault="00C8614B" w:rsidP="004A722F">
      <w:pPr>
        <w:tabs>
          <w:tab w:val="left" w:pos="709"/>
        </w:tabs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3BB5">
        <w:rPr>
          <w:rFonts w:ascii="Times New Roman" w:hAnsi="Times New Roman" w:cs="Times New Roman"/>
          <w:color w:val="auto"/>
          <w:sz w:val="24"/>
          <w:szCs w:val="24"/>
        </w:rPr>
        <w:t>Ниже районного показателя в 9 классах (средний балл менее «3,5») результаты в МБОУ: «Гвардейская школа №1»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- 3,4 б. (41,5%)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Вишнянчина Т.П.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3,7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56,9%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«Гвардейская щкола-гимназия №2»  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</w:rPr>
        <w:t>- 2,3 б. (11,7%)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Балабанюк А.И.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3,8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66,7%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 «Денисовская школ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</w:rPr>
        <w:t>а»-3,3 б. (44%)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Шакотько Т.В.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3,7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68%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lastRenderedPageBreak/>
        <w:t>«Добровская школа-гимназия»-</w:t>
      </w:r>
      <w:r w:rsidR="007A7C94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3,2 б. (28,8%)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Мартыненко Н.О.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3,8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62,5 %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«Журавлевская школа» -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3,3 б.(50%) 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Куртсеитова Э.Б.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3,7 б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64,3%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«Залесская школ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а» - 3,1б. (42,9%)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Харлова Е.П.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35,7%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«Константиновская школа»-3,2 б. (33,3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Жулев Э.А.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4,0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60%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«Краснолесская шко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ла» - 2,6 б. (0%)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Муратова З.О.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3,7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58,3%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«Молодежненская школа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№2» - 3,2 б. (34,8%) (</w:t>
      </w:r>
      <w:r w:rsidR="004A5EE1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Росицкий Н.И.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3,6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56,5%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«Тепловская шко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ла» - 3,3 б. (44%)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Продан В.Ф.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), В+Д –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3,3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44,4%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«Украинская школа» - 2,6 б.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(0%)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Молибог А.В.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3,7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50%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«Широковская шк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ола» - 3,1 б. (30%)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Разумов В.И.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3,1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30%</w:t>
      </w:r>
      <w:r w:rsidR="00CF593F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614B" w:rsidRPr="00DC3BB5" w:rsidRDefault="00C8614B" w:rsidP="004A722F">
      <w:pPr>
        <w:tabs>
          <w:tab w:val="left" w:pos="709"/>
        </w:tabs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Ниже районного показателя в 10 классах (средний балл менее «3,8») результаты в МБОУ: «Винницкая школа»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– 3,2 б. (50%)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Васильченко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Д.А.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В+Д- </w:t>
      </w:r>
      <w:r w:rsidR="00137ED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4,5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100%</w:t>
      </w:r>
      <w:r w:rsidR="00137ED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«Добровская школа-гимназия» -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 3,7 б. (43,2%)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Мартыненко Н.О.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137ED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4,5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97,7%</w:t>
      </w:r>
      <w:r w:rsidR="00137ED3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«Константиновская  школ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а» - 3,1 б. (30%)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Жулев Э.А.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4,4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100%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«Маленская шко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ла» - 3,6 б. (70%)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Зиновьева О.П.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4,8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100%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,  «Молодежненская школа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№2» - 3,3 б. (42,1%)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Росицкий Н.И.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4,2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84,2%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«Тепловская школа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» - 3,2 б. (38,1%)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Продан В.Ф.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3,2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38,1%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«Украинская школ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а» - 2,0 б. (0%)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Молибог А.В.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3,7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66,7%</w:t>
      </w:r>
      <w:r w:rsidR="00095389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«Чайкинская школа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» - 3,5 б. (70%)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Усеинова Л.А.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54010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3,8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80%</w:t>
      </w:r>
      <w:r w:rsidR="0054010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, «Широковская школ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</w:rPr>
        <w:t>а» - 3,4 б. (37,5%) (</w:t>
      </w:r>
      <w:r w:rsidR="00B028A7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учитель </w:t>
      </w:r>
      <w:r w:rsidR="002D0A7A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Разумов В.И.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 xml:space="preserve">), В+Д – </w:t>
      </w:r>
      <w:r w:rsidR="0054010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3,4 б. (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37,5%</w:t>
      </w:r>
      <w:r w:rsidR="00540100" w:rsidRP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DC3BB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t>Такие факты говорят о том, что учителя данных школ либо завышают отметки, предъявляя к обучающимся заниженные требования, либо не владеют критериями оценивания по предмету.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t>В целом</w:t>
      </w:r>
      <w:r w:rsidR="00AA27B3" w:rsidRPr="00AA27B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>качество знаний по району остаются на протяжении 5 лет стабильными, что свидетельствует о системной работе учителей района по выполнению основных требований к знаниям и умениям обучающихся согласно Государственной программе по информатике и ИКТ.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t>Однако,</w:t>
      </w:r>
      <w:r w:rsid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A4899" w:rsidRPr="00AA27B3">
        <w:rPr>
          <w:rFonts w:ascii="Times New Roman" w:hAnsi="Times New Roman" w:cs="Times New Roman"/>
          <w:color w:val="auto"/>
          <w:spacing w:val="4"/>
          <w:sz w:val="24"/>
          <w:szCs w:val="24"/>
        </w:rPr>
        <w:t>в</w:t>
      </w:r>
      <w:r w:rsidRPr="00AA27B3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школьном этапе всероссийской олимпиады школьников по информатике и ИКТ в 2019-2020 уч. </w:t>
      </w:r>
      <w:r w:rsidR="00AA27B3" w:rsidRPr="00AA27B3">
        <w:rPr>
          <w:rFonts w:ascii="Times New Roman" w:hAnsi="Times New Roman" w:cs="Times New Roman"/>
          <w:color w:val="auto"/>
          <w:spacing w:val="4"/>
          <w:sz w:val="24"/>
          <w:szCs w:val="24"/>
          <w:lang w:val="ru-RU"/>
        </w:rPr>
        <w:t>г</w:t>
      </w:r>
      <w:r w:rsidRPr="00AA27B3">
        <w:rPr>
          <w:rFonts w:ascii="Times New Roman" w:hAnsi="Times New Roman" w:cs="Times New Roman"/>
          <w:color w:val="auto"/>
          <w:spacing w:val="4"/>
          <w:sz w:val="24"/>
          <w:szCs w:val="24"/>
        </w:rPr>
        <w:t>оду приняли участие обучающиеся 7 – 11 классов из 34 школ (297).</w:t>
      </w:r>
    </w:p>
    <w:p w:rsidR="00C8614B" w:rsidRPr="00AA27B3" w:rsidRDefault="00C8614B" w:rsidP="004A722F">
      <w:pPr>
        <w:shd w:val="clear" w:color="auto" w:fill="FFFFFF"/>
        <w:spacing w:after="0"/>
        <w:ind w:left="-284" w:right="101"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pacing w:val="4"/>
          <w:sz w:val="24"/>
          <w:szCs w:val="24"/>
        </w:rPr>
        <w:t>Для участия в муниципальном этапе всероссийской олимпиады школьников по информатике и ИКТ было заявлено 37 обучающихся (в 2018-2019 учебном году – 27 обучающихся), из них приняли участие 26 обучающихся (9 % от числа участников школьного этапа) из 22 школ района.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A27B3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  <w:lang w:eastAsia="ru-RU"/>
        </w:rPr>
        <w:t>Н</w:t>
      </w:r>
      <w:r w:rsidRPr="00AA27B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а 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протяжении последних 5 лет лидерами в олимпиадах по информатике являются следующие МБОУ: «Партизанская школа»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Терещенко А.В.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), «Николаевская школа»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Омельченко Ю.В.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), «Чистенская школа-гимназия»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Котолупова Л.Г.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), «Новоселовская школа»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ПольнякЭ.В.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:rsidR="00C8614B" w:rsidRPr="002A4899" w:rsidRDefault="00C8614B" w:rsidP="004A722F">
      <w:pPr>
        <w:shd w:val="clear" w:color="auto" w:fill="FFFFFF"/>
        <w:spacing w:after="0"/>
        <w:ind w:left="-284" w:right="101" w:firstLine="567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В конкурсе  по информационным технологиям «С Комьютером на ТЫ» на протяжении последних 3 лет лидерами являются МБОУ: «Кольчугинская школа №2» (Асанова У.С.), «Гвардейская школа-гимназия №3»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Цимбал М.Б.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), «Гвардейская школа-гимназия №2»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Богданова Е.В.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), «Кольчугинская школа №1»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Лущик О.А</w:t>
      </w:r>
      <w:r w:rsidRPr="00C8614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.</w:t>
      </w:r>
      <w:r w:rsidRPr="00C8614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>).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t xml:space="preserve">Высокие результаты выступления на олимпиадах по информатике и информационным технологиям в вышеуказанных школах — это результат должного контроля со стороны администрации за состоянием преподавания предмета и качеством уроков, сложившаяся система работы с одаренными детьми, высокое мастерство учителей, работающих в данных школах и конструктивное сотрудничество учителя и обучающихся. 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lastRenderedPageBreak/>
        <w:t>Однако</w:t>
      </w:r>
      <w:r w:rsid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 xml:space="preserve"> необходимо обратить внимание на образовательные учреждения</w:t>
      </w:r>
      <w:r w:rsid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 xml:space="preserve"> в которых достаточно высокие результаты</w:t>
      </w:r>
      <w:r w:rsidR="00AA27B3" w:rsidRPr="00AA27B3">
        <w:rPr>
          <w:rFonts w:ascii="Times New Roman" w:hAnsi="Times New Roman" w:cs="Times New Roman"/>
          <w:color w:val="auto"/>
          <w:sz w:val="24"/>
          <w:szCs w:val="24"/>
        </w:rPr>
        <w:t xml:space="preserve"> уровня обученности обучающихся, но 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 xml:space="preserve">низкие показатели на олимпиадах в т.ч. МБОУ: </w:t>
      </w:r>
    </w:p>
    <w:p w:rsidR="00C8614B" w:rsidRPr="00AA27B3" w:rsidRDefault="00C8614B" w:rsidP="004A722F">
      <w:pPr>
        <w:spacing w:after="0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t>«Винницкая школа» (В+Д - 98,3 %)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Васильченко Я.Д.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>), в муниципальном этапе олимпиады обучающиеся не принимали участие на протяжении нескольких лет, «Гвардейская школа-гимназия №3» (В+Д-85,7%)(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Цимбал М.Б.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>), олимпиада –17% , 5 место (68 б. из 500), «Добровская школа-гимназия</w:t>
      </w:r>
      <w:r w:rsidR="00AA27B3" w:rsidRPr="00AA27B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им. Я.М.Слонимского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 xml:space="preserve">» (В+Д - 92,1%) (Федорченко Н.Б.), олимпиада — 0%, в 2019-2020 уч. году участие не принимали, «Кленовская </w:t>
      </w:r>
      <w:r w:rsidR="00AA27B3" w:rsidRPr="00AA27B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основная 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>школа» – (В+Д -100%)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Каневская А.А.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>), олимпиада – на протяжении нескольких лет участие не принимали, «Кольчугинская школа №1» (Лущик О.А.) (В+Д-81,4%), олимпиада – 10% (26 б. из 500), 6 место, «Новоандреевская школа» - (В+Д -90,2%)  (Калугина И.Б.), олимпиада –0 %, «Родниковская школа-гимназия» (Могильная Л.В.) (В+Д - 82,8%), олимпиада – 0,1%, 16 место, Скворцовская</w:t>
      </w:r>
      <w:r w:rsidR="00DC3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>школа  (В+Д - 80,7%), олимпиада – 0%.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t>Низкий показатель В+Д по итогам полугодия показали следующие МБОУ: «Залесская школа» – 30%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Миронюк А.В.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>), олимпиада — не приняли участие, «Тепловская школа» – 52% (</w:t>
      </w: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Меметов С.М.</w:t>
      </w:r>
      <w:r w:rsidRPr="00AA27B3">
        <w:rPr>
          <w:rFonts w:ascii="Times New Roman" w:hAnsi="Times New Roman" w:cs="Times New Roman"/>
          <w:color w:val="auto"/>
          <w:sz w:val="24"/>
          <w:szCs w:val="24"/>
        </w:rPr>
        <w:t xml:space="preserve">), олимпиада – не приняли участие. </w:t>
      </w:r>
    </w:p>
    <w:p w:rsidR="00C8614B" w:rsidRPr="00AA27B3" w:rsidRDefault="00C8614B" w:rsidP="004A72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27B3">
        <w:rPr>
          <w:rFonts w:ascii="Times New Roman" w:eastAsia="Times New Roman" w:hAnsi="Times New Roman" w:cs="Times New Roman"/>
          <w:color w:val="auto"/>
          <w:sz w:val="24"/>
          <w:szCs w:val="24"/>
        </w:rPr>
        <w:t>Анализ результативности выступления на олимпиадах показал,  что наряду с объективными причинами (смена учителей в МБОУ «Маленская школа», МБОУ «Тепловская школа», МБОУ «Добровская школа-гимназия им.Я.М.Слонимского»,МБОУ «Винницкая школа») имеют место и субъективные:  отсутствие системы работы с одаренными детьми, формальный подход к проведению школьного этапа, отсутствие должного контроля со стороны администрации за проведением и подготовкой обучающихся к муниципальному   этапу олимпиад.</w:t>
      </w:r>
    </w:p>
    <w:p w:rsidR="00F77884" w:rsidRPr="00F77884" w:rsidRDefault="00F77884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884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отметить, что высокую результативность участия и активную работу по привлечению обучающихся в конкурсах проводят МБОУ: «Кольчугинская школа №2» (Асанова У.С.), «Чистенская школа-гимназия» (Котолупова Л.Г.), «Кольчугинская школа №1» (Лущик О.А.), «Гвардейская школа-гимназия №2» (Богданова Е.В.), «Гвардейская школа №3» (Цимбал М.Б.), «Укромновская школа» (Куртсеитова Е.В.).</w:t>
      </w:r>
    </w:p>
    <w:p w:rsidR="00F77884" w:rsidRDefault="00F77884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Однако,  МБОУ: «Винницкая школа» (Васильченко Я.Д.), «Гвардейская школа №1» (Шепченко А.И.), «Денисовская школа» (Иванушкина А.А.), «Донская школа» (Мельник Н.В.), «Журавлевская школа» (Переведенцева О.А.), «Залесская школа» (Миронюк А.В.), «Кленовская </w:t>
      </w:r>
      <w:r w:rsidR="00AA27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основная </w:t>
      </w:r>
      <w:r w:rsidRPr="00F77884">
        <w:rPr>
          <w:rFonts w:ascii="Times New Roman" w:hAnsi="Times New Roman" w:cs="Times New Roman"/>
          <w:color w:val="000000" w:themeColor="text1"/>
          <w:sz w:val="24"/>
          <w:szCs w:val="24"/>
        </w:rPr>
        <w:t>школа» (Каневская А.А.), «Константиновская школа» (Маршалок М.В.), «Краснолесская</w:t>
      </w:r>
      <w:r w:rsidR="00DC3BB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основная </w:t>
      </w:r>
      <w:r w:rsidRPr="00F77884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AA27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Pr="00F77884">
        <w:rPr>
          <w:rFonts w:ascii="Times New Roman" w:hAnsi="Times New Roman" w:cs="Times New Roman"/>
          <w:color w:val="000000" w:themeColor="text1"/>
          <w:sz w:val="24"/>
          <w:szCs w:val="24"/>
        </w:rPr>
        <w:t>ола» (Костяева Т.В.), «Кубанская школа» (Скуратовская Н.В.), «Мазанская школа» (Мусинова И.Ю.), «Молодежненская школа №2» (Донец Л.А.), «Новоселовская школа» (Польняк Э.В.), «Перевальненская школа» (Латыш Л.Я.), «Тепловская школа» (Меметов С.М.), «Украинская школа» (Стелюкова А.А.), «Широковская школа» (Ходова Н.С.) не принимают участие в конкурсных программах, что говорит об отсутствии работы по привитию у обучающихся интереса к предмету и развитию творческих способностей.</w:t>
      </w:r>
    </w:p>
    <w:p w:rsidR="00DB6369" w:rsidRPr="00AA27B3" w:rsidRDefault="00DB6369" w:rsidP="004A722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27B3">
        <w:rPr>
          <w:rFonts w:ascii="Times New Roman" w:hAnsi="Times New Roman" w:cs="Times New Roman"/>
          <w:color w:val="auto"/>
          <w:sz w:val="24"/>
          <w:szCs w:val="24"/>
        </w:rPr>
        <w:t>Можно сделать следующий вывод, что учителя проводят определенную работу по выявлению, развитию и поддержки одарённых детей, необходимо активизировать деятельность учителей по привлечению обучающихся к участию в научно-исследовательской, проектной деятельности, с целью формирования предметных компетенций.</w:t>
      </w:r>
    </w:p>
    <w:p w:rsidR="00660CC1" w:rsidRPr="00AA27B3" w:rsidRDefault="00660CC1" w:rsidP="004A722F">
      <w:pPr>
        <w:pStyle w:val="a4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B65">
        <w:rPr>
          <w:rFonts w:ascii="Times New Roman" w:hAnsi="Times New Roman" w:cs="Times New Roman"/>
          <w:sz w:val="24"/>
          <w:szCs w:val="24"/>
        </w:rPr>
        <w:t>При посещении уроков учителей в период тематических выездов отмечен</w:t>
      </w:r>
      <w:r w:rsidR="00DC3BB5">
        <w:rPr>
          <w:rFonts w:ascii="Times New Roman" w:hAnsi="Times New Roman" w:cs="Times New Roman"/>
          <w:sz w:val="24"/>
          <w:szCs w:val="24"/>
        </w:rPr>
        <w:t xml:space="preserve"> </w:t>
      </w:r>
      <w:r w:rsidRPr="00AA27B3">
        <w:rPr>
          <w:rFonts w:ascii="Times New Roman" w:hAnsi="Times New Roman" w:cs="Times New Roman"/>
          <w:sz w:val="24"/>
          <w:szCs w:val="24"/>
        </w:rPr>
        <w:t>средний методический уровень. Следует отметить, что в МБОУ: «Новоандреевская школа», «Перовская школа-гимназия», «Маленская школа», «Кубанская школа» теоретические занятия проходят без использования проектора, что не дает возможность наглядно представить материал и заинтересовать обучающихся. Всеми учителями района проводятся инструктаж по технике безопасности перед выпол</w:t>
      </w:r>
      <w:r w:rsidR="00AA27B3" w:rsidRPr="00AA27B3">
        <w:rPr>
          <w:rFonts w:ascii="Times New Roman" w:hAnsi="Times New Roman" w:cs="Times New Roman"/>
          <w:sz w:val="24"/>
          <w:szCs w:val="24"/>
        </w:rPr>
        <w:t>нением практической работы, так</w:t>
      </w:r>
      <w:r w:rsidRPr="00AA27B3">
        <w:rPr>
          <w:rFonts w:ascii="Times New Roman" w:hAnsi="Times New Roman" w:cs="Times New Roman"/>
          <w:sz w:val="24"/>
          <w:szCs w:val="24"/>
        </w:rPr>
        <w:t xml:space="preserve">же </w:t>
      </w:r>
      <w:r w:rsidRPr="00AA27B3">
        <w:rPr>
          <w:rFonts w:ascii="Times New Roman" w:hAnsi="Times New Roman" w:cs="Times New Roman"/>
          <w:sz w:val="24"/>
          <w:szCs w:val="24"/>
        </w:rPr>
        <w:lastRenderedPageBreak/>
        <w:t>проводят физические минутки и упражнения для глаз. На практических занятиях учителя  МБОУ «Тепловская школа» (Продан В.Ф.) и МБОУ «Перовская школа-гимназия»(Эльвединов Д.Э) не всегда выполняют санитарные нормы (СанПиН 2.4.2.2821-10 "Санитарно-эпидемиологические требования к условиям и организации обучения в образовательных учреждениях"</w:t>
      </w:r>
      <w:r w:rsidRPr="00AA27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27B3">
        <w:rPr>
          <w:rFonts w:ascii="Times New Roman" w:hAnsi="Times New Roman" w:cs="Times New Roman"/>
          <w:sz w:val="24"/>
          <w:szCs w:val="24"/>
        </w:rPr>
        <w:t>утвержденные постановлением Главного государственного санитарного врача Российской Федерации от 29 декабря 2010 г. № 189) и требования к преподаванию предмета информатики (Инструктивно-методическое письмо об особенностях преподавания информатики в общеобразовательных организациях Республики Крым в 2014/2015 учебном году): не уделяется внимание осанке обучающихся, не соблюдается режим нахождения обучающихся перед монитором.</w:t>
      </w:r>
    </w:p>
    <w:p w:rsidR="00660CC1" w:rsidRPr="00B1252F" w:rsidRDefault="00DC3BB5" w:rsidP="00DC3BB5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     </w:t>
      </w:r>
      <w:r w:rsidR="00660CC1" w:rsidRPr="00B1252F">
        <w:rPr>
          <w:rFonts w:ascii="Times New Roman" w:eastAsia="Times New Roman" w:hAnsi="Times New Roman" w:cs="Times New Roman"/>
          <w:color w:val="auto"/>
          <w:sz w:val="24"/>
          <w:szCs w:val="24"/>
        </w:rPr>
        <w:t>Во всех школах района администрация осуществляет контроль за преподаванием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предмета </w:t>
      </w:r>
      <w:r w:rsidR="00975338" w:rsidRPr="00B1252F">
        <w:rPr>
          <w:rFonts w:ascii="Times New Roman" w:hAnsi="Times New Roman" w:cs="Times New Roman"/>
          <w:color w:val="auto"/>
          <w:sz w:val="24"/>
          <w:szCs w:val="24"/>
        </w:rPr>
        <w:t>«Информатика</w:t>
      </w:r>
      <w:r w:rsidR="00660CC1" w:rsidRPr="00B1252F">
        <w:rPr>
          <w:rFonts w:ascii="Times New Roman" w:hAnsi="Times New Roman" w:cs="Times New Roman"/>
          <w:color w:val="auto"/>
          <w:sz w:val="24"/>
          <w:szCs w:val="24"/>
        </w:rPr>
        <w:t xml:space="preserve">». Издаются приказы «О распределении обязанностей между членами администрации школы», </w:t>
      </w:r>
      <w:r w:rsidR="00660CC1" w:rsidRPr="00B1252F">
        <w:rPr>
          <w:rFonts w:ascii="Times New Roman" w:eastAsia="Times New Roman" w:hAnsi="Times New Roman" w:cs="Times New Roman"/>
          <w:color w:val="auto"/>
          <w:sz w:val="24"/>
          <w:szCs w:val="24"/>
        </w:rPr>
        <w:t>ведутся записи о посещенных уроках, выводы по посещенным урокам и рекомендации</w:t>
      </w:r>
      <w:r w:rsidR="00660CC1" w:rsidRPr="00B1252F">
        <w:rPr>
          <w:rFonts w:ascii="Times New Roman" w:hAnsi="Times New Roman" w:cs="Times New Roman"/>
          <w:color w:val="auto"/>
          <w:sz w:val="24"/>
          <w:szCs w:val="24"/>
        </w:rPr>
        <w:t xml:space="preserve">. В приказах о выполнении программ и их практической части отражаются вопросы, касающиеся преподавания информатики. Из проверяемых школ </w:t>
      </w:r>
      <w:r w:rsidR="00660CC1" w:rsidRPr="00B1252F">
        <w:rPr>
          <w:rFonts w:ascii="Times New Roman" w:eastAsia="Times New Roman" w:hAnsi="Times New Roman" w:cs="Times New Roman"/>
          <w:color w:val="auto"/>
          <w:sz w:val="24"/>
          <w:szCs w:val="24"/>
        </w:rPr>
        <w:t>в системе осуществляет контроль администрация МБОУ «Кубанская школа», «Маленская школа».</w:t>
      </w:r>
    </w:p>
    <w:p w:rsidR="00281009" w:rsidRPr="00933B65" w:rsidRDefault="00281009" w:rsidP="00DC3BB5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33B65">
        <w:rPr>
          <w:rFonts w:ascii="Times New Roman" w:hAnsi="Times New Roman" w:cs="Times New Roman"/>
          <w:color w:val="auto"/>
          <w:sz w:val="24"/>
          <w:szCs w:val="24"/>
          <w:lang w:val="ru-RU"/>
        </w:rPr>
        <w:t>Исходя из вышеизложенного</w:t>
      </w:r>
    </w:p>
    <w:p w:rsidR="00281009" w:rsidRPr="00933B65" w:rsidRDefault="00281009" w:rsidP="004A722F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281009" w:rsidRPr="00933B65" w:rsidRDefault="00281009" w:rsidP="004A722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933B6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ПРИКАЗЫВАЮ:</w:t>
      </w:r>
    </w:p>
    <w:p w:rsidR="00660CC1" w:rsidRPr="00660CC1" w:rsidRDefault="00660CC1" w:rsidP="004A722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</w:p>
    <w:p w:rsidR="00660CC1" w:rsidRPr="00860269" w:rsidRDefault="00DC3BB5" w:rsidP="00DC3BB5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       1.</w:t>
      </w:r>
      <w:r w:rsidR="00281009" w:rsidRPr="00860269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Считать </w:t>
      </w:r>
      <w:r w:rsidR="00281009" w:rsidRPr="00860269">
        <w:rPr>
          <w:rFonts w:ascii="Times New Roman" w:hAnsi="Times New Roman" w:cs="Times New Roman"/>
          <w:bCs/>
          <w:color w:val="auto"/>
          <w:sz w:val="24"/>
          <w:szCs w:val="24"/>
        </w:rPr>
        <w:t>к</w:t>
      </w:r>
      <w:r w:rsidR="00660CC1" w:rsidRPr="00860269">
        <w:rPr>
          <w:rFonts w:ascii="Times New Roman" w:hAnsi="Times New Roman" w:cs="Times New Roman"/>
          <w:bCs/>
          <w:color w:val="auto"/>
          <w:sz w:val="24"/>
          <w:szCs w:val="24"/>
        </w:rPr>
        <w:t>ачество предоставляемых образовательных услуг по учебному предмету «Информатика</w:t>
      </w:r>
      <w:r w:rsidR="00B1555B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и ИКТ</w:t>
      </w:r>
      <w:r w:rsidR="00660CC1" w:rsidRPr="00860269">
        <w:rPr>
          <w:rFonts w:ascii="Times New Roman" w:hAnsi="Times New Roman" w:cs="Times New Roman"/>
          <w:bCs/>
          <w:color w:val="auto"/>
          <w:sz w:val="24"/>
          <w:szCs w:val="24"/>
        </w:rPr>
        <w:t>» в общеобразовательных учреждениях Симферопольского района на удовлетворительном уровне.</w:t>
      </w:r>
    </w:p>
    <w:p w:rsidR="00660CC1" w:rsidRPr="00860269" w:rsidRDefault="00660CC1" w:rsidP="005520B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>2. Администрации МБОУ:</w:t>
      </w:r>
    </w:p>
    <w:p w:rsidR="00660CC1" w:rsidRPr="00860269" w:rsidRDefault="00CD2B61" w:rsidP="00DC3BB5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>родолжить работу по модернизации материально-технической базы кабинетов информатики, пополнению библиотечного фонда учебниками и учебными пособиями</w:t>
      </w:r>
    </w:p>
    <w:p w:rsidR="00660CC1" w:rsidRPr="00860269" w:rsidRDefault="00660CC1" w:rsidP="00DC3BB5">
      <w:pPr>
        <w:spacing w:after="0" w:line="240" w:lineRule="auto"/>
        <w:ind w:left="-142" w:firstLine="709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</w:rPr>
        <w:t>в течение учебного года</w:t>
      </w:r>
      <w:r w:rsidR="00B1252F"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;</w:t>
      </w:r>
    </w:p>
    <w:p w:rsidR="00660CC1" w:rsidRPr="00860269" w:rsidRDefault="00CD2B61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родолжить осуществление контроля за ведением деловой документации по предмету «Информатика» </w:t>
      </w:r>
    </w:p>
    <w:p w:rsidR="00660CC1" w:rsidRPr="00860269" w:rsidRDefault="00660CC1" w:rsidP="00CD2B61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 течение учебного года</w:t>
      </w:r>
      <w:r w:rsidR="00B1252F"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;</w:t>
      </w:r>
    </w:p>
    <w:p w:rsidR="00660CC1" w:rsidRPr="00860269" w:rsidRDefault="00CD2B61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к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>онтролировать участие учащихся в конкурсах и олимпиадах различного уровня, анализировать их результативность.</w:t>
      </w:r>
    </w:p>
    <w:p w:rsidR="00660CC1" w:rsidRPr="00860269" w:rsidRDefault="00660CC1" w:rsidP="00CD2B61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</w:rPr>
        <w:t>в течение учебного года</w:t>
      </w:r>
      <w:r w:rsidR="00B1252F"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.</w:t>
      </w:r>
    </w:p>
    <w:p w:rsidR="00660CC1" w:rsidRPr="00860269" w:rsidRDefault="00660CC1" w:rsidP="00CD2B61">
      <w:pPr>
        <w:spacing w:after="0" w:line="240" w:lineRule="auto"/>
        <w:ind w:left="-284" w:right="-5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660CC1" w:rsidRPr="00860269" w:rsidRDefault="00B1252F" w:rsidP="00CD2B61">
      <w:pPr>
        <w:ind w:left="-284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CD2B6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520B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>Администрации МБОУ: «Тепловская школа» ((Меметов С.М.), «Перовская школа-гимназия» (Володина Л.Д.):</w:t>
      </w:r>
    </w:p>
    <w:p w:rsidR="00660CC1" w:rsidRPr="00860269" w:rsidRDefault="00CD2B61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3.1. 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>нести изменения и дополнения в план внутришкольного контроля в части «Состояние преподавания предмета «Информатика</w:t>
      </w:r>
      <w:r w:rsidR="005520B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ИКТ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»           </w:t>
      </w:r>
    </w:p>
    <w:p w:rsidR="00660CC1" w:rsidRPr="00860269" w:rsidRDefault="00660CC1" w:rsidP="00CD2B61">
      <w:pPr>
        <w:spacing w:after="0" w:line="240" w:lineRule="auto"/>
        <w:ind w:left="-284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</w:rPr>
        <w:t>до 01.05.2020</w:t>
      </w:r>
    </w:p>
    <w:p w:rsidR="00660CC1" w:rsidRPr="00860269" w:rsidRDefault="00CD2B61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3.2. 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>оставить на персональный контроль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  <w:r w:rsidR="00B155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ведение учителями информатики школьной документации по предмету;</w:t>
      </w:r>
      <w:r w:rsidR="00B155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оформление обязательной документации кабинета «Информатика»;</w:t>
      </w:r>
    </w:p>
    <w:p w:rsidR="00660CC1" w:rsidRPr="00860269" w:rsidRDefault="00CD2B61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3.3. </w:t>
      </w:r>
      <w:r w:rsidR="00B1252F" w:rsidRPr="0086026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</w:t>
      </w:r>
      <w:r w:rsidR="00660CC1" w:rsidRPr="00860269">
        <w:rPr>
          <w:rFonts w:ascii="Times New Roman" w:eastAsia="Times New Roman" w:hAnsi="Times New Roman" w:cs="Times New Roman"/>
          <w:color w:val="auto"/>
          <w:sz w:val="24"/>
          <w:szCs w:val="24"/>
        </w:rPr>
        <w:t>рганизовать практическую методическую помощь молодым специалистам, преподающим предмет «Информатика</w:t>
      </w:r>
      <w:r w:rsidR="00B1555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и ИКТ</w:t>
      </w:r>
      <w:r w:rsidR="00660CC1" w:rsidRPr="00860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».  </w:t>
      </w:r>
    </w:p>
    <w:p w:rsidR="00CD2B61" w:rsidRPr="00CD2B61" w:rsidRDefault="00660CC1" w:rsidP="00CD2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B61">
        <w:rPr>
          <w:rFonts w:ascii="Times New Roman" w:hAnsi="Times New Roman" w:cs="Times New Roman"/>
          <w:sz w:val="24"/>
          <w:szCs w:val="24"/>
        </w:rPr>
        <w:t>4.</w:t>
      </w:r>
      <w:r w:rsidRPr="00CD2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B61">
        <w:rPr>
          <w:rFonts w:ascii="Times New Roman" w:hAnsi="Times New Roman" w:cs="Times New Roman"/>
          <w:sz w:val="24"/>
          <w:szCs w:val="24"/>
        </w:rPr>
        <w:t>Учителям информатики ОУ:</w:t>
      </w:r>
    </w:p>
    <w:p w:rsidR="00660CC1" w:rsidRPr="00CD2B61" w:rsidRDefault="00660CC1" w:rsidP="00CD2B61">
      <w:pPr>
        <w:spacing w:after="0"/>
        <w:rPr>
          <w:rFonts w:eastAsia="Times New Roman"/>
          <w:b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>4.1.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обеспечить системное внедрение тестовых технологий при тематическом оценивании </w:t>
      </w:r>
      <w:proofErr w:type="gramStart"/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универсальных учебных действий</w:t>
      </w:r>
      <w:proofErr w:type="gramEnd"/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обучающихся   с 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целью подготовки к Государственной итоговой аттестации </w:t>
      </w:r>
    </w:p>
    <w:p w:rsidR="00660CC1" w:rsidRPr="00860269" w:rsidRDefault="00660CC1" w:rsidP="00CD2B61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                 в течение учебного года</w:t>
      </w:r>
      <w:r w:rsidR="00B1252F"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;</w:t>
      </w:r>
    </w:p>
    <w:p w:rsidR="00660CC1" w:rsidRPr="00860269" w:rsidRDefault="00660CC1" w:rsidP="00CD2B6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>4.2.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зучить критерии оценивания учащихся по информатике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lastRenderedPageBreak/>
        <w:t>4.3.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ести отработку предметных компетенций учащихся с целью ликвидации пробелов в знаниях обучающихся</w:t>
      </w:r>
    </w:p>
    <w:p w:rsidR="00660CC1" w:rsidRPr="00860269" w:rsidRDefault="00CD2B61" w:rsidP="00CD2B61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с</w:t>
      </w:r>
      <w:r w:rsidR="00660CC1" w:rsidRPr="00860269">
        <w:rPr>
          <w:rFonts w:ascii="Times New Roman" w:hAnsi="Times New Roman" w:cs="Times New Roman"/>
          <w:i/>
          <w:color w:val="auto"/>
          <w:sz w:val="24"/>
          <w:szCs w:val="24"/>
        </w:rPr>
        <w:t>истематически</w:t>
      </w:r>
      <w:r w:rsidR="00B1252F"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.</w:t>
      </w:r>
    </w:p>
    <w:p w:rsidR="00CD2B61" w:rsidRDefault="00CD2B61" w:rsidP="00CD2B61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</w:t>
      </w:r>
      <w:r w:rsidRPr="00CD2B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CC1" w:rsidRPr="00CD2B61">
        <w:rPr>
          <w:rFonts w:ascii="Times New Roman" w:hAnsi="Times New Roman" w:cs="Times New Roman"/>
          <w:sz w:val="24"/>
          <w:szCs w:val="24"/>
        </w:rPr>
        <w:t>5</w:t>
      </w:r>
      <w:r w:rsidR="00660CC1" w:rsidRPr="00CD2B61">
        <w:rPr>
          <w:rFonts w:ascii="Times New Roman" w:hAnsi="Times New Roman" w:cs="Times New Roman"/>
        </w:rPr>
        <w:t>.</w:t>
      </w:r>
      <w:r w:rsidR="00660CC1" w:rsidRPr="00CD2B61">
        <w:rPr>
          <w:rFonts w:ascii="Times New Roman" w:hAnsi="Times New Roman" w:cs="Times New Roman"/>
          <w:sz w:val="24"/>
          <w:szCs w:val="24"/>
        </w:rPr>
        <w:t>Учителям информатики МБОУ: «Винницкая школа» (Васильченко Д.А.), «Гвардейская школа №1» (В</w:t>
      </w:r>
      <w:r w:rsidR="00C10A39" w:rsidRPr="00CD2B61">
        <w:rPr>
          <w:rFonts w:ascii="Times New Roman" w:hAnsi="Times New Roman" w:cs="Times New Roman"/>
          <w:sz w:val="24"/>
          <w:szCs w:val="24"/>
        </w:rPr>
        <w:t>ишнянчиой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Т.П.), «Денисовская школа» (Шакотько Т.В.), «Журавлевская  школа» (Куртсеитов</w:t>
      </w:r>
      <w:r w:rsidR="00C10A39" w:rsidRPr="00CD2B61">
        <w:rPr>
          <w:rFonts w:ascii="Times New Roman" w:hAnsi="Times New Roman" w:cs="Times New Roman"/>
          <w:sz w:val="24"/>
          <w:szCs w:val="24"/>
        </w:rPr>
        <w:t>ой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Э.Б.) (МБОУ), «Залесская школа» (Харлов</w:t>
      </w:r>
      <w:r w:rsidR="00C10A39" w:rsidRPr="00CD2B61">
        <w:rPr>
          <w:rFonts w:ascii="Times New Roman" w:hAnsi="Times New Roman" w:cs="Times New Roman"/>
          <w:sz w:val="24"/>
          <w:szCs w:val="24"/>
        </w:rPr>
        <w:t>ой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Е.П.), </w:t>
      </w:r>
      <w:r w:rsidR="00B1252F" w:rsidRPr="00CD2B61">
        <w:rPr>
          <w:rFonts w:ascii="Times New Roman" w:hAnsi="Times New Roman" w:cs="Times New Roman"/>
          <w:sz w:val="24"/>
          <w:szCs w:val="24"/>
        </w:rPr>
        <w:t>«Константиновская школа» (Жулев</w:t>
      </w:r>
      <w:r w:rsidR="00C10A39" w:rsidRPr="00CD2B61">
        <w:rPr>
          <w:rFonts w:ascii="Times New Roman" w:hAnsi="Times New Roman" w:cs="Times New Roman"/>
          <w:sz w:val="24"/>
          <w:szCs w:val="24"/>
        </w:rPr>
        <w:t>у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Э.А.)</w:t>
      </w:r>
      <w:r w:rsidR="00C10A39" w:rsidRPr="00CD2B61">
        <w:rPr>
          <w:rFonts w:ascii="Times New Roman" w:hAnsi="Times New Roman" w:cs="Times New Roman"/>
          <w:sz w:val="24"/>
          <w:szCs w:val="24"/>
        </w:rPr>
        <w:t>, «Краснолесская школа» (Муратовой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З.О.), «Кубанская школа» (Травин</w:t>
      </w:r>
      <w:r w:rsidR="000D3D45" w:rsidRPr="00CD2B61">
        <w:rPr>
          <w:rFonts w:ascii="Times New Roman" w:hAnsi="Times New Roman" w:cs="Times New Roman"/>
          <w:sz w:val="24"/>
          <w:szCs w:val="24"/>
        </w:rPr>
        <w:t>у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Д.В.), «Мазанская школа» (Хамицевич С.В.), «Молодежненская школа №2» (Росицк</w:t>
      </w:r>
      <w:r w:rsidR="000D3D45" w:rsidRPr="00CD2B61">
        <w:rPr>
          <w:rFonts w:ascii="Times New Roman" w:hAnsi="Times New Roman" w:cs="Times New Roman"/>
          <w:sz w:val="24"/>
          <w:szCs w:val="24"/>
        </w:rPr>
        <w:t>ому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Н.И.), «Новоселовская  школа» (Ватолин</w:t>
      </w:r>
      <w:r w:rsidR="000D3D45" w:rsidRPr="00CD2B61">
        <w:rPr>
          <w:rFonts w:ascii="Times New Roman" w:hAnsi="Times New Roman" w:cs="Times New Roman"/>
          <w:sz w:val="24"/>
          <w:szCs w:val="24"/>
        </w:rPr>
        <w:t>у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А.Ф.), «Перевальненская школа» (Алабиной А.О.),  «Тепловская школа» (Продану В.Ф.), «Украинская школа» (Молибог</w:t>
      </w:r>
      <w:r w:rsidR="000D3D45" w:rsidRPr="00CD2B61">
        <w:rPr>
          <w:rFonts w:ascii="Times New Roman" w:hAnsi="Times New Roman" w:cs="Times New Roman"/>
          <w:sz w:val="24"/>
          <w:szCs w:val="24"/>
        </w:rPr>
        <w:t>у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А.В.), «Широковская школа» (Разумов</w:t>
      </w:r>
      <w:r w:rsidR="000D3D45" w:rsidRPr="00CD2B61">
        <w:rPr>
          <w:rFonts w:ascii="Times New Roman" w:hAnsi="Times New Roman" w:cs="Times New Roman"/>
          <w:sz w:val="24"/>
          <w:szCs w:val="24"/>
        </w:rPr>
        <w:t>у</w:t>
      </w:r>
      <w:r w:rsidR="00660CC1" w:rsidRPr="00CD2B61">
        <w:rPr>
          <w:rFonts w:ascii="Times New Roman" w:hAnsi="Times New Roman" w:cs="Times New Roman"/>
          <w:sz w:val="24"/>
          <w:szCs w:val="24"/>
        </w:rPr>
        <w:t xml:space="preserve"> В.И.)продолжить работу с одаренными обучающимися через привлечение </w:t>
      </w:r>
      <w:r>
        <w:rPr>
          <w:rFonts w:ascii="Times New Roman" w:hAnsi="Times New Roman" w:cs="Times New Roman"/>
          <w:sz w:val="24"/>
          <w:szCs w:val="24"/>
        </w:rPr>
        <w:t>к участию в  МАН, «Шаг в науку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60CC1" w:rsidRPr="00CD2B61" w:rsidRDefault="00CD2B61" w:rsidP="00CD2B61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 с</w:t>
      </w:r>
      <w:r w:rsidR="00660CC1" w:rsidRPr="00860269">
        <w:rPr>
          <w:rFonts w:ascii="Times New Roman" w:hAnsi="Times New Roman" w:cs="Times New Roman"/>
          <w:i/>
          <w:color w:val="auto"/>
          <w:sz w:val="24"/>
          <w:szCs w:val="24"/>
        </w:rPr>
        <w:t>истематически</w:t>
      </w:r>
      <w:r w:rsidR="00B1252F"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.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2B61">
        <w:rPr>
          <w:rFonts w:ascii="Times New Roman" w:hAnsi="Times New Roman" w:cs="Times New Roman"/>
          <w:noProof/>
          <w:color w:val="auto"/>
          <w:sz w:val="24"/>
          <w:szCs w:val="24"/>
        </w:rPr>
        <w:t>6.</w:t>
      </w:r>
      <w:r w:rsidRPr="00860269">
        <w:rPr>
          <w:rFonts w:ascii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Учителям информатики МБОУ: «Кленовская основная школа» (Щеглов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Л.А.), «Молодежненская  школа №2» (Росицк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ому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Н.И.), «Тепловская школа» (Продан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В.Ф.), «Мирновская школа №1» (Леусенко А.В.), «Урожайновская школа» (Чимирис Л.В.),  «Скворцовская школа» (Куртаметов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Р.Р.), «Новоселовская школа» (Ватолин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А.Ф.), «Новоандреевская школа» (Дорошевич А.Е.), «Денисовская школа» (Шакотько Т.В.), «Украинская школа» (Молибог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А.В.), «Пожарская школа» (Чухлеб  </w:t>
      </w:r>
      <w:r w:rsidR="000D3D45">
        <w:rPr>
          <w:rFonts w:ascii="Times New Roman" w:hAnsi="Times New Roman" w:cs="Times New Roman"/>
          <w:color w:val="auto"/>
          <w:sz w:val="24"/>
          <w:szCs w:val="24"/>
        </w:rPr>
        <w:t>Н.Г.), «Залесская школа» (Харло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вой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Е.П.), </w:t>
      </w:r>
      <w:r w:rsidRPr="00860269">
        <w:rPr>
          <w:rFonts w:ascii="Times New Roman" w:hAnsi="Times New Roman" w:cs="Times New Roman"/>
          <w:color w:val="auto"/>
          <w:sz w:val="24"/>
          <w:szCs w:val="24"/>
          <w:lang w:bidi="ru-RU"/>
        </w:rPr>
        <w:t>«Маленская школа» (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Зиновьев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>ой</w:t>
      </w:r>
      <w:r w:rsidR="00B1252F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О.П.),  </w:t>
      </w:r>
      <w:r w:rsidRPr="00860269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«Кубанская школа» 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860269">
        <w:rPr>
          <w:rFonts w:ascii="Times New Roman" w:hAnsi="Times New Roman" w:cs="Times New Roman"/>
          <w:color w:val="auto"/>
          <w:sz w:val="24"/>
          <w:szCs w:val="24"/>
          <w:lang w:bidi="ru-RU"/>
        </w:rPr>
        <w:t>Травин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 w:bidi="ru-RU"/>
        </w:rPr>
        <w:t>й</w:t>
      </w:r>
      <w:r w:rsidRPr="00860269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 Д.В.),  «Перовская школа-гимназия» (Эльвединов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 w:bidi="ru-RU"/>
        </w:rPr>
        <w:t>у</w:t>
      </w:r>
      <w:r w:rsidRPr="00860269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 Д.Э., </w:t>
      </w:r>
      <w:r w:rsidR="000D3D45">
        <w:rPr>
          <w:rFonts w:ascii="Times New Roman" w:hAnsi="Times New Roman" w:cs="Times New Roman"/>
          <w:color w:val="auto"/>
          <w:sz w:val="24"/>
          <w:szCs w:val="24"/>
          <w:lang w:bidi="ru-RU"/>
        </w:rPr>
        <w:t>Шерпанов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 w:bidi="ru-RU"/>
        </w:rPr>
        <w:t>ой</w:t>
      </w:r>
      <w:r w:rsidRPr="00860269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 Э.А.):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6.1. 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ривести обязательную школьную документацию по преподаванию предмета в соответствие с требованиями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6.2. 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спользовать современные образовательные технологии с целью повышения мотивации к изучению предмета     </w:t>
      </w:r>
    </w:p>
    <w:p w:rsidR="00660CC1" w:rsidRPr="00860269" w:rsidRDefault="00860269" w:rsidP="00CD2B61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с</w:t>
      </w:r>
      <w:r w:rsidR="00660CC1" w:rsidRPr="00860269">
        <w:rPr>
          <w:rFonts w:ascii="Times New Roman" w:hAnsi="Times New Roman" w:cs="Times New Roman"/>
          <w:i/>
          <w:color w:val="auto"/>
          <w:sz w:val="24"/>
          <w:szCs w:val="24"/>
        </w:rPr>
        <w:t>истематически</w:t>
      </w:r>
      <w:r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;</w:t>
      </w:r>
    </w:p>
    <w:p w:rsidR="00660CC1" w:rsidRPr="00860269" w:rsidRDefault="00660CC1" w:rsidP="00CD2B61">
      <w:pPr>
        <w:tabs>
          <w:tab w:val="left" w:pos="851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>6.3.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зучить и соблюдать санитарные нормы и требования к преподаванию предмета                           </w:t>
      </w:r>
    </w:p>
    <w:p w:rsidR="00660CC1" w:rsidRPr="00860269" w:rsidRDefault="00660CC1" w:rsidP="00CD2B61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</w:rPr>
        <w:t>систематически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>7.  МБОУ ДО «ЦДЮТ» (Кирияк Т.Н.):</w:t>
      </w:r>
    </w:p>
    <w:p w:rsidR="00860269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7.1. 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р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ассмотреть вопрос о качестве предоставляемых образовательных услуг по предмету «Информатика</w:t>
      </w:r>
      <w:r w:rsidR="000D3D4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ИКТ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» на районном методическом объединении учителей </w:t>
      </w:r>
    </w:p>
    <w:p w:rsidR="00660CC1" w:rsidRPr="00860269" w:rsidRDefault="00CD2B6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="00660CC1" w:rsidRPr="00860269">
        <w:rPr>
          <w:rFonts w:ascii="Times New Roman" w:hAnsi="Times New Roman" w:cs="Times New Roman"/>
          <w:color w:val="auto"/>
          <w:sz w:val="24"/>
          <w:szCs w:val="24"/>
        </w:rPr>
        <w:t>май, 2020г.;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родолжить работу постоянно действующего семинара для педагогов </w:t>
      </w:r>
      <w:r w:rsidRPr="00660CC1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района «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Решение задач повышенной трудности, программирование»</w:t>
      </w:r>
    </w:p>
    <w:p w:rsidR="00660CC1" w:rsidRPr="00860269" w:rsidRDefault="00860269" w:rsidP="00CD2B61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н</w:t>
      </w:r>
      <w:r w:rsidR="00660CC1" w:rsidRPr="00860269">
        <w:rPr>
          <w:rFonts w:ascii="Times New Roman" w:hAnsi="Times New Roman" w:cs="Times New Roman"/>
          <w:i/>
          <w:color w:val="auto"/>
          <w:sz w:val="24"/>
          <w:szCs w:val="24"/>
        </w:rPr>
        <w:t>оябрь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860269">
        <w:rPr>
          <w:rFonts w:ascii="Times New Roman" w:hAnsi="Times New Roman" w:cs="Times New Roman"/>
          <w:color w:val="auto"/>
          <w:sz w:val="24"/>
          <w:szCs w:val="24"/>
        </w:rPr>
        <w:t>7.3.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>рганиз</w:t>
      </w:r>
      <w:r w:rsidR="00860269" w:rsidRPr="00860269">
        <w:rPr>
          <w:rFonts w:ascii="Times New Roman" w:hAnsi="Times New Roman" w:cs="Times New Roman"/>
          <w:color w:val="auto"/>
          <w:sz w:val="24"/>
          <w:szCs w:val="24"/>
        </w:rPr>
        <w:t>овать работу по сотрудничеству</w:t>
      </w:r>
      <w:r w:rsidRPr="00860269">
        <w:rPr>
          <w:rFonts w:ascii="Times New Roman" w:hAnsi="Times New Roman" w:cs="Times New Roman"/>
          <w:color w:val="auto"/>
          <w:sz w:val="24"/>
          <w:szCs w:val="24"/>
        </w:rPr>
        <w:t xml:space="preserve"> с ВУЗами с целью повышения профессионализма педагогов района через привлечение к участию в совместных семинарах-практикумах, вебинарах, конференциях.</w:t>
      </w:r>
    </w:p>
    <w:p w:rsidR="00660CC1" w:rsidRPr="00860269" w:rsidRDefault="00660CC1" w:rsidP="00CD2B61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860269">
        <w:rPr>
          <w:rFonts w:ascii="Times New Roman" w:hAnsi="Times New Roman" w:cs="Times New Roman"/>
          <w:i/>
          <w:color w:val="auto"/>
          <w:sz w:val="24"/>
          <w:szCs w:val="24"/>
        </w:rPr>
        <w:t>в течение учебного года</w:t>
      </w:r>
      <w:r w:rsidR="00860269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.</w:t>
      </w:r>
    </w:p>
    <w:p w:rsidR="00660CC1" w:rsidRPr="00860269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60CC1" w:rsidRPr="00660CC1" w:rsidRDefault="00660CC1" w:rsidP="00CD2B6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60CC1" w:rsidRPr="00933B65" w:rsidRDefault="00660CC1" w:rsidP="00CD2B6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933B6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Начальник управления образования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CD2B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</w:t>
      </w:r>
      <w:r w:rsidRPr="00933B6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С.В. Дмитрова </w:t>
      </w:r>
    </w:p>
    <w:p w:rsidR="00660CC1" w:rsidRDefault="00660CC1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03786C" w:rsidRDefault="0003786C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03786C" w:rsidRDefault="0003786C" w:rsidP="00CD2B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03786C" w:rsidRDefault="0003786C" w:rsidP="00660CC1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204389" w:rsidRDefault="00204389" w:rsidP="0003786C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04389" w:rsidRDefault="00204389" w:rsidP="0003786C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CD2B61" w:rsidRDefault="00CD2B61" w:rsidP="0003786C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CD2B61" w:rsidRDefault="00CD2B61" w:rsidP="0003786C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CD2B61" w:rsidRDefault="00CD2B61" w:rsidP="0003786C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03786C" w:rsidRPr="00933B65" w:rsidRDefault="0003786C" w:rsidP="0003786C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 xml:space="preserve">С приказом </w:t>
      </w:r>
      <w:r w:rsidR="00CD2B61" w:rsidRPr="00CD2B61">
        <w:rPr>
          <w:rFonts w:ascii="Times New Roman" w:hAnsi="Times New Roman"/>
          <w:color w:val="auto"/>
          <w:sz w:val="24"/>
          <w:szCs w:val="24"/>
          <w:lang w:val="ru-RU"/>
        </w:rPr>
        <w:t xml:space="preserve">от 20.05.2020 г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№ 310</w:t>
      </w:r>
      <w:r w:rsidRPr="00933B65">
        <w:rPr>
          <w:rFonts w:ascii="Times New Roman" w:hAnsi="Times New Roman"/>
          <w:color w:val="auto"/>
          <w:sz w:val="24"/>
          <w:szCs w:val="24"/>
          <w:lang w:val="ru-RU"/>
        </w:rPr>
        <w:t>. ознакомлены:</w:t>
      </w:r>
    </w:p>
    <w:p w:rsidR="0003786C" w:rsidRPr="00933B65" w:rsidRDefault="0003786C" w:rsidP="0003786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120"/>
        <w:gridCol w:w="3090"/>
      </w:tblGrid>
      <w:tr w:rsidR="0003786C" w:rsidRPr="00933B65" w:rsidTr="006A18EF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6C" w:rsidRPr="00933B65" w:rsidRDefault="0003786C" w:rsidP="006A1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933B65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6C" w:rsidRPr="00933B65" w:rsidRDefault="0003786C" w:rsidP="006A1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933B65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 xml:space="preserve">Подпись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6C" w:rsidRPr="00933B65" w:rsidRDefault="0003786C" w:rsidP="006A1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933B65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Дата</w:t>
            </w:r>
          </w:p>
        </w:tc>
      </w:tr>
      <w:tr w:rsidR="0003786C" w:rsidRPr="00933B65" w:rsidTr="006A18EF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6C" w:rsidRPr="00933B65" w:rsidRDefault="0003786C" w:rsidP="006A18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933B65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Кирияк Т.Н.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6C" w:rsidRPr="00933B65" w:rsidRDefault="0003786C" w:rsidP="006A1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6C" w:rsidRPr="00933B65" w:rsidRDefault="0003786C" w:rsidP="006A1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</w:p>
        </w:tc>
      </w:tr>
      <w:tr w:rsidR="0003786C" w:rsidRPr="00933B65" w:rsidTr="006A18EF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6C" w:rsidRPr="00933B65" w:rsidRDefault="0003786C" w:rsidP="006A18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Обищенко Л.Л.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6C" w:rsidRPr="00933B65" w:rsidRDefault="0003786C" w:rsidP="006A1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6C" w:rsidRPr="00933B65" w:rsidRDefault="0003786C" w:rsidP="006A1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</w:p>
        </w:tc>
      </w:tr>
    </w:tbl>
    <w:p w:rsidR="0003786C" w:rsidRPr="00660CC1" w:rsidRDefault="0003786C" w:rsidP="00660CC1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sectPr w:rsidR="0003786C" w:rsidRPr="00660CC1" w:rsidSect="0090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B27F2"/>
    <w:multiLevelType w:val="hybridMultilevel"/>
    <w:tmpl w:val="573037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B69DC"/>
    <w:multiLevelType w:val="multilevel"/>
    <w:tmpl w:val="48FA19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32"/>
    <w:rsid w:val="00001B34"/>
    <w:rsid w:val="0003786C"/>
    <w:rsid w:val="00095389"/>
    <w:rsid w:val="000A2761"/>
    <w:rsid w:val="000D3D45"/>
    <w:rsid w:val="00137ED3"/>
    <w:rsid w:val="0014133C"/>
    <w:rsid w:val="001A33B3"/>
    <w:rsid w:val="00204389"/>
    <w:rsid w:val="00281009"/>
    <w:rsid w:val="002A3303"/>
    <w:rsid w:val="002A4899"/>
    <w:rsid w:val="002D0A7A"/>
    <w:rsid w:val="00353732"/>
    <w:rsid w:val="00375EE2"/>
    <w:rsid w:val="003917A7"/>
    <w:rsid w:val="004A5EE1"/>
    <w:rsid w:val="004A722F"/>
    <w:rsid w:val="004C35D0"/>
    <w:rsid w:val="00540100"/>
    <w:rsid w:val="005520B2"/>
    <w:rsid w:val="005A016A"/>
    <w:rsid w:val="00660CC1"/>
    <w:rsid w:val="006F4652"/>
    <w:rsid w:val="006F722B"/>
    <w:rsid w:val="0073237C"/>
    <w:rsid w:val="00741182"/>
    <w:rsid w:val="007A7C94"/>
    <w:rsid w:val="00847C4E"/>
    <w:rsid w:val="00860269"/>
    <w:rsid w:val="009058C6"/>
    <w:rsid w:val="00975338"/>
    <w:rsid w:val="00A74CAD"/>
    <w:rsid w:val="00A80289"/>
    <w:rsid w:val="00AA27B3"/>
    <w:rsid w:val="00B028A7"/>
    <w:rsid w:val="00B1252F"/>
    <w:rsid w:val="00B1555B"/>
    <w:rsid w:val="00B626DC"/>
    <w:rsid w:val="00B7629E"/>
    <w:rsid w:val="00B932F8"/>
    <w:rsid w:val="00BC23BE"/>
    <w:rsid w:val="00C10A39"/>
    <w:rsid w:val="00C8614B"/>
    <w:rsid w:val="00CA2D7A"/>
    <w:rsid w:val="00CD2B61"/>
    <w:rsid w:val="00CF593F"/>
    <w:rsid w:val="00DA6646"/>
    <w:rsid w:val="00DB6369"/>
    <w:rsid w:val="00DC3BB5"/>
    <w:rsid w:val="00DD3374"/>
    <w:rsid w:val="00E55F3B"/>
    <w:rsid w:val="00F7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47F3-E320-4958-8795-BABC329E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32"/>
    <w:pPr>
      <w:spacing w:after="200" w:line="276" w:lineRule="auto"/>
    </w:pPr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917A7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3917A7"/>
    <w:pPr>
      <w:spacing w:after="0" w:line="240" w:lineRule="auto"/>
    </w:pPr>
    <w:rPr>
      <w:rFonts w:ascii="Calibri" w:hAnsi="Calibri"/>
      <w:lang w:eastAsia="ru-RU"/>
    </w:rPr>
  </w:style>
  <w:style w:type="paragraph" w:styleId="a5">
    <w:name w:val="List Paragraph"/>
    <w:basedOn w:val="a"/>
    <w:uiPriority w:val="34"/>
    <w:qFormat/>
    <w:rsid w:val="00660CC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4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1A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3B3"/>
    <w:rPr>
      <w:rFonts w:ascii="Tahoma" w:eastAsiaTheme="minorEastAsia" w:hAnsi="Tahoma" w:cs="Tahoma"/>
      <w:color w:val="00000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Незире Самуйлова</dc:creator>
  <cp:lastModifiedBy>Лаврушкина</cp:lastModifiedBy>
  <cp:revision>4</cp:revision>
  <dcterms:created xsi:type="dcterms:W3CDTF">2020-06-01T05:10:00Z</dcterms:created>
  <dcterms:modified xsi:type="dcterms:W3CDTF">2020-06-01T05:49:00Z</dcterms:modified>
</cp:coreProperties>
</file>