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9F" w:rsidRPr="006250FA" w:rsidRDefault="00002B9F" w:rsidP="00002B9F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6250FA"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:rsidR="00002B9F" w:rsidRPr="006250FA" w:rsidRDefault="00002B9F" w:rsidP="00002B9F">
      <w:pPr>
        <w:spacing w:line="360" w:lineRule="auto"/>
        <w:ind w:left="284"/>
        <w:jc w:val="center"/>
        <w:rPr>
          <w:rFonts w:eastAsia="Calibri"/>
          <w:b/>
          <w:sz w:val="24"/>
          <w:szCs w:val="24"/>
        </w:rPr>
      </w:pPr>
      <w:r w:rsidRPr="006250FA"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002B9F" w:rsidRPr="006250FA" w:rsidRDefault="00002B9F" w:rsidP="00002B9F">
      <w:pPr>
        <w:spacing w:line="360" w:lineRule="auto"/>
        <w:ind w:left="284"/>
        <w:jc w:val="center"/>
        <w:rPr>
          <w:rFonts w:eastAsia="Calibri"/>
          <w:b/>
          <w:sz w:val="24"/>
          <w:szCs w:val="24"/>
        </w:rPr>
      </w:pPr>
      <w:r w:rsidRPr="006250FA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02B9F" w:rsidRPr="006250FA" w:rsidRDefault="00002B9F" w:rsidP="00002B9F">
      <w:pPr>
        <w:spacing w:line="360" w:lineRule="auto"/>
        <w:ind w:left="284"/>
        <w:jc w:val="center"/>
        <w:rPr>
          <w:rFonts w:eastAsia="Calibri"/>
          <w:b/>
          <w:sz w:val="24"/>
          <w:szCs w:val="24"/>
        </w:rPr>
      </w:pPr>
      <w:r w:rsidRPr="006250FA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</w:p>
    <w:p w:rsidR="00002B9F" w:rsidRPr="006250FA" w:rsidRDefault="00002B9F" w:rsidP="00002B9F">
      <w:pPr>
        <w:pBdr>
          <w:bottom w:val="single" w:sz="6" w:space="0" w:color="auto"/>
        </w:pBdr>
        <w:spacing w:line="360" w:lineRule="auto"/>
        <w:ind w:left="284"/>
        <w:jc w:val="center"/>
        <w:rPr>
          <w:b/>
          <w:sz w:val="24"/>
          <w:szCs w:val="24"/>
        </w:rPr>
      </w:pPr>
      <w:r w:rsidRPr="006250FA">
        <w:rPr>
          <w:rFonts w:eastAsia="Calibri"/>
          <w:b/>
          <w:sz w:val="24"/>
          <w:szCs w:val="24"/>
          <w:lang w:val="en-US"/>
        </w:rPr>
        <w:t>e</w:t>
      </w:r>
      <w:r w:rsidRPr="006250FA">
        <w:rPr>
          <w:rFonts w:eastAsia="Calibri"/>
          <w:b/>
          <w:sz w:val="24"/>
          <w:szCs w:val="24"/>
        </w:rPr>
        <w:t>-</w:t>
      </w:r>
      <w:r w:rsidRPr="006250FA">
        <w:rPr>
          <w:rFonts w:eastAsia="Calibri"/>
          <w:b/>
          <w:sz w:val="24"/>
          <w:szCs w:val="24"/>
          <w:lang w:val="en-US"/>
        </w:rPr>
        <w:t>mail</w:t>
      </w:r>
      <w:r w:rsidRPr="006250FA">
        <w:rPr>
          <w:rFonts w:eastAsia="Calibri"/>
          <w:b/>
          <w:sz w:val="24"/>
          <w:szCs w:val="24"/>
        </w:rPr>
        <w:t>:</w:t>
      </w:r>
      <w:hyperlink r:id="rId7" w:history="1">
        <w:r w:rsidRPr="006250FA">
          <w:rPr>
            <w:b/>
            <w:color w:val="0000FF"/>
            <w:sz w:val="24"/>
            <w:szCs w:val="24"/>
            <w:u w:val="single"/>
            <w:lang w:val="en-US"/>
          </w:rPr>
          <w:t>simferopolsiy</w:t>
        </w:r>
        <w:r w:rsidRPr="006250FA">
          <w:rPr>
            <w:b/>
            <w:color w:val="0000FF"/>
            <w:sz w:val="24"/>
            <w:szCs w:val="24"/>
            <w:u w:val="single"/>
          </w:rPr>
          <w:t>-</w:t>
        </w:r>
        <w:r w:rsidRPr="006250FA">
          <w:rPr>
            <w:b/>
            <w:color w:val="0000FF"/>
            <w:sz w:val="24"/>
            <w:szCs w:val="24"/>
            <w:u w:val="single"/>
            <w:lang w:val="en-US"/>
          </w:rPr>
          <w:t>rayon</w:t>
        </w:r>
        <w:r w:rsidRPr="006250FA">
          <w:rPr>
            <w:b/>
            <w:color w:val="0000FF"/>
            <w:sz w:val="24"/>
            <w:szCs w:val="24"/>
            <w:u w:val="single"/>
          </w:rPr>
          <w:t>21@</w:t>
        </w:r>
        <w:r w:rsidRPr="006250FA">
          <w:rPr>
            <w:b/>
            <w:color w:val="0000FF"/>
            <w:sz w:val="24"/>
            <w:szCs w:val="24"/>
            <w:u w:val="single"/>
            <w:lang w:val="en-US"/>
          </w:rPr>
          <w:t>crimeaedu</w:t>
        </w:r>
        <w:r w:rsidRPr="006250FA">
          <w:rPr>
            <w:b/>
            <w:color w:val="0000FF"/>
            <w:sz w:val="24"/>
            <w:szCs w:val="24"/>
            <w:u w:val="single"/>
          </w:rPr>
          <w:t>.</w:t>
        </w:r>
        <w:r w:rsidRPr="006250FA">
          <w:rPr>
            <w:b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002B9F" w:rsidRPr="006250FA" w:rsidRDefault="00002B9F" w:rsidP="00002B9F">
      <w:pPr>
        <w:pBdr>
          <w:bottom w:val="single" w:sz="6" w:space="0" w:color="auto"/>
        </w:pBdr>
        <w:spacing w:line="360" w:lineRule="auto"/>
        <w:ind w:left="284"/>
        <w:jc w:val="center"/>
        <w:rPr>
          <w:rFonts w:eastAsia="Calibri"/>
          <w:sz w:val="24"/>
          <w:szCs w:val="24"/>
        </w:rPr>
      </w:pPr>
      <w:r w:rsidRPr="006250FA">
        <w:rPr>
          <w:rFonts w:eastAsia="Calibri"/>
          <w:sz w:val="24"/>
          <w:szCs w:val="24"/>
        </w:rPr>
        <w:t>ОКПО 00797278,  ОГРН 1159102007822, ИНН/КПП 9109008621/910901001</w:t>
      </w:r>
    </w:p>
    <w:p w:rsidR="00002B9F" w:rsidRPr="006250FA" w:rsidRDefault="00002B9F" w:rsidP="00002B9F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21"/>
        <w:gridCol w:w="4622"/>
      </w:tblGrid>
      <w:tr w:rsidR="00002B9F" w:rsidRPr="006250FA" w:rsidTr="004D79BE">
        <w:tc>
          <w:tcPr>
            <w:tcW w:w="4621" w:type="dxa"/>
            <w:shd w:val="clear" w:color="auto" w:fill="auto"/>
          </w:tcPr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ПРИНЯТО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На заседании педагогического совета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Протокол № __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От __ _____________ 20___ г.</w:t>
            </w:r>
          </w:p>
        </w:tc>
        <w:tc>
          <w:tcPr>
            <w:tcW w:w="4622" w:type="dxa"/>
            <w:shd w:val="clear" w:color="auto" w:fill="auto"/>
          </w:tcPr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УТВЕРЖДАЮ</w:t>
            </w:r>
          </w:p>
          <w:p w:rsidR="00002B9F" w:rsidRPr="006250FA" w:rsidRDefault="00002B9F" w:rsidP="004D79BE">
            <w:pPr>
              <w:rPr>
                <w:bCs/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 xml:space="preserve">Директор </w:t>
            </w:r>
            <w:r w:rsidRPr="006250FA">
              <w:rPr>
                <w:bCs/>
                <w:sz w:val="24"/>
                <w:szCs w:val="24"/>
              </w:rPr>
              <w:t>______________ И.Б. Калугина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bCs/>
                <w:sz w:val="24"/>
                <w:szCs w:val="24"/>
              </w:rPr>
              <w:t>Приказ № ______ от __________ 20____г.</w:t>
            </w:r>
          </w:p>
        </w:tc>
      </w:tr>
      <w:tr w:rsidR="00002B9F" w:rsidRPr="006250FA" w:rsidTr="004D79BE">
        <w:tc>
          <w:tcPr>
            <w:tcW w:w="4621" w:type="dxa"/>
            <w:shd w:val="clear" w:color="auto" w:fill="auto"/>
          </w:tcPr>
          <w:p w:rsidR="00002B9F" w:rsidRPr="006250FA" w:rsidRDefault="00002B9F" w:rsidP="004D79BE">
            <w:pPr>
              <w:rPr>
                <w:sz w:val="24"/>
                <w:szCs w:val="24"/>
              </w:rPr>
            </w:pP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СОГЛАСОВАНО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На заседании профсоюзного комитета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Протокол № ___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От ___ ___________ 20___г.</w:t>
            </w:r>
          </w:p>
          <w:p w:rsidR="00002B9F" w:rsidRPr="006250FA" w:rsidRDefault="00002B9F" w:rsidP="004D79BE">
            <w:pPr>
              <w:rPr>
                <w:sz w:val="24"/>
                <w:szCs w:val="24"/>
              </w:rPr>
            </w:pPr>
            <w:r w:rsidRPr="006250FA">
              <w:rPr>
                <w:sz w:val="24"/>
                <w:szCs w:val="24"/>
              </w:rPr>
              <w:t>Председатель ПК ______И.А. Дворовенко</w:t>
            </w:r>
          </w:p>
        </w:tc>
        <w:tc>
          <w:tcPr>
            <w:tcW w:w="4622" w:type="dxa"/>
            <w:shd w:val="clear" w:color="auto" w:fill="auto"/>
          </w:tcPr>
          <w:p w:rsidR="00002B9F" w:rsidRPr="006250FA" w:rsidRDefault="00002B9F" w:rsidP="004D79BE">
            <w:pPr>
              <w:rPr>
                <w:sz w:val="24"/>
                <w:szCs w:val="24"/>
              </w:rPr>
            </w:pPr>
          </w:p>
        </w:tc>
      </w:tr>
    </w:tbl>
    <w:p w:rsidR="00002B9F" w:rsidRDefault="00002B9F" w:rsidP="00002B9F">
      <w:pPr>
        <w:rPr>
          <w:b/>
          <w:sz w:val="24"/>
          <w:szCs w:val="24"/>
        </w:rPr>
      </w:pPr>
    </w:p>
    <w:p w:rsidR="00002B9F" w:rsidRDefault="00002B9F" w:rsidP="00002B9F">
      <w:pPr>
        <w:rPr>
          <w:b/>
          <w:sz w:val="24"/>
          <w:szCs w:val="24"/>
        </w:rPr>
      </w:pPr>
    </w:p>
    <w:p w:rsidR="00002B9F" w:rsidRDefault="00002B9F" w:rsidP="00002B9F">
      <w:pPr>
        <w:rPr>
          <w:b/>
          <w:sz w:val="24"/>
          <w:szCs w:val="24"/>
        </w:rPr>
      </w:pPr>
    </w:p>
    <w:p w:rsidR="00002B9F" w:rsidRPr="006250FA" w:rsidRDefault="00002B9F" w:rsidP="00002B9F">
      <w:pPr>
        <w:rPr>
          <w:b/>
          <w:sz w:val="24"/>
          <w:szCs w:val="24"/>
        </w:rPr>
      </w:pPr>
    </w:p>
    <w:p w:rsidR="00002B9F" w:rsidRPr="006250FA" w:rsidRDefault="00002B9F" w:rsidP="00002B9F">
      <w:pPr>
        <w:rPr>
          <w:b/>
          <w:sz w:val="24"/>
          <w:szCs w:val="24"/>
        </w:rPr>
      </w:pPr>
    </w:p>
    <w:p w:rsidR="00002B9F" w:rsidRPr="006250FA" w:rsidRDefault="00002B9F" w:rsidP="00002B9F">
      <w:pPr>
        <w:rPr>
          <w:b/>
          <w:sz w:val="24"/>
          <w:szCs w:val="24"/>
        </w:rPr>
      </w:pPr>
    </w:p>
    <w:p w:rsidR="00002B9F" w:rsidRPr="006250FA" w:rsidRDefault="00002B9F" w:rsidP="00002B9F">
      <w:pPr>
        <w:jc w:val="center"/>
        <w:rPr>
          <w:sz w:val="36"/>
          <w:szCs w:val="36"/>
        </w:rPr>
      </w:pPr>
      <w:r w:rsidRPr="006250FA">
        <w:rPr>
          <w:b/>
          <w:sz w:val="36"/>
          <w:szCs w:val="36"/>
        </w:rPr>
        <w:t>П О Л О Ж Е Н И Е</w:t>
      </w:r>
    </w:p>
    <w:p w:rsidR="00002B9F" w:rsidRDefault="00002B9F" w:rsidP="00002B9F">
      <w:pPr>
        <w:spacing w:after="150"/>
        <w:jc w:val="center"/>
        <w:rPr>
          <w:b/>
          <w:bCs/>
          <w:sz w:val="36"/>
          <w:szCs w:val="36"/>
        </w:rPr>
      </w:pPr>
      <w:r w:rsidRPr="006250FA">
        <w:rPr>
          <w:b/>
          <w:bCs/>
          <w:sz w:val="36"/>
          <w:szCs w:val="36"/>
        </w:rPr>
        <w:t xml:space="preserve">о </w:t>
      </w:r>
      <w:r>
        <w:rPr>
          <w:b/>
          <w:bCs/>
          <w:sz w:val="36"/>
          <w:szCs w:val="36"/>
        </w:rPr>
        <w:t>профессиональных рисках</w:t>
      </w:r>
      <w:r w:rsidRPr="006250FA">
        <w:rPr>
          <w:b/>
          <w:bCs/>
          <w:sz w:val="36"/>
          <w:szCs w:val="36"/>
        </w:rPr>
        <w:t xml:space="preserve"> </w:t>
      </w:r>
    </w:p>
    <w:p w:rsidR="00002B9F" w:rsidRPr="006250FA" w:rsidRDefault="00002B9F" w:rsidP="00002B9F">
      <w:pPr>
        <w:spacing w:after="150"/>
        <w:jc w:val="center"/>
        <w:rPr>
          <w:sz w:val="36"/>
          <w:szCs w:val="36"/>
        </w:rPr>
      </w:pPr>
      <w:r w:rsidRPr="006250FA">
        <w:rPr>
          <w:b/>
          <w:bCs/>
          <w:sz w:val="36"/>
          <w:szCs w:val="36"/>
        </w:rPr>
        <w:t xml:space="preserve">в </w:t>
      </w:r>
      <w:r>
        <w:rPr>
          <w:b/>
          <w:bCs/>
          <w:sz w:val="36"/>
          <w:szCs w:val="36"/>
        </w:rPr>
        <w:t>МБОУ «Новоандреевская школа им. В. А. Осипова»</w:t>
      </w:r>
    </w:p>
    <w:p w:rsidR="00002B9F" w:rsidRPr="006250FA" w:rsidRDefault="00002B9F" w:rsidP="00002B9F">
      <w:pPr>
        <w:pStyle w:val="afc"/>
        <w:rPr>
          <w:rFonts w:ascii="Times New Roman" w:hAnsi="Times New Roman"/>
          <w:b/>
          <w:sz w:val="24"/>
          <w:szCs w:val="24"/>
        </w:rPr>
      </w:pPr>
    </w:p>
    <w:p w:rsidR="00002B9F" w:rsidRPr="006250FA" w:rsidRDefault="00002B9F" w:rsidP="00002B9F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</w:p>
    <w:p w:rsidR="00002B9F" w:rsidRPr="006250FA" w:rsidRDefault="00002B9F" w:rsidP="00002B9F">
      <w:pPr>
        <w:jc w:val="center"/>
        <w:rPr>
          <w:sz w:val="24"/>
          <w:szCs w:val="24"/>
        </w:rPr>
      </w:pPr>
      <w:r w:rsidRPr="006250FA">
        <w:rPr>
          <w:b/>
          <w:bCs/>
          <w:sz w:val="24"/>
          <w:szCs w:val="24"/>
        </w:rPr>
        <w:t>Локальный акт №</w:t>
      </w:r>
      <w:r w:rsidR="00286C3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215</w:t>
      </w:r>
    </w:p>
    <w:p w:rsidR="00002B9F" w:rsidRPr="006250FA" w:rsidRDefault="00002B9F" w:rsidP="00002B9F">
      <w:pPr>
        <w:jc w:val="center"/>
        <w:rPr>
          <w:sz w:val="24"/>
          <w:szCs w:val="24"/>
        </w:rPr>
      </w:pPr>
    </w:p>
    <w:p w:rsidR="00002B9F" w:rsidRPr="006250FA" w:rsidRDefault="00002B9F" w:rsidP="00002B9F">
      <w:pPr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Default="00002B9F" w:rsidP="00002B9F">
      <w:pPr>
        <w:jc w:val="center"/>
        <w:rPr>
          <w:sz w:val="24"/>
          <w:szCs w:val="24"/>
        </w:rPr>
      </w:pPr>
    </w:p>
    <w:p w:rsidR="00002B9F" w:rsidRPr="006250FA" w:rsidRDefault="00002B9F" w:rsidP="00002B9F">
      <w:pPr>
        <w:jc w:val="center"/>
        <w:rPr>
          <w:sz w:val="24"/>
          <w:szCs w:val="24"/>
        </w:rPr>
      </w:pPr>
    </w:p>
    <w:p w:rsidR="00002B9F" w:rsidRPr="006250FA" w:rsidRDefault="00002B9F" w:rsidP="00002B9F">
      <w:pPr>
        <w:jc w:val="center"/>
        <w:rPr>
          <w:sz w:val="24"/>
          <w:szCs w:val="24"/>
        </w:rPr>
      </w:pPr>
    </w:p>
    <w:p w:rsidR="00511003" w:rsidRPr="00002B9F" w:rsidRDefault="00002B9F" w:rsidP="00002B9F">
      <w:pPr>
        <w:jc w:val="center"/>
        <w:rPr>
          <w:sz w:val="24"/>
          <w:szCs w:val="24"/>
        </w:rPr>
      </w:pPr>
      <w:r w:rsidRPr="006250FA">
        <w:rPr>
          <w:sz w:val="24"/>
          <w:szCs w:val="24"/>
        </w:rPr>
        <w:t>с. Новоандреевка, 2023 г.</w:t>
      </w:r>
    </w:p>
    <w:p w:rsidR="00511003" w:rsidRPr="00227047" w:rsidRDefault="00002B9F">
      <w:pPr>
        <w:pStyle w:val="17PRIL-header-1"/>
        <w:spacing w:before="0" w:after="0" w:line="240" w:lineRule="auto"/>
        <w:ind w:left="0" w:right="0"/>
        <w:rPr>
          <w:rFonts w:ascii="Times New Roman" w:hAnsi="Times New Roman"/>
          <w:b/>
          <w:spacing w:val="0"/>
          <w:sz w:val="24"/>
          <w:szCs w:val="24"/>
        </w:rPr>
      </w:pPr>
      <w:r>
        <w:rPr>
          <w:rFonts w:ascii="Times New Roman" w:hAnsi="Times New Roman"/>
          <w:b/>
          <w:spacing w:val="0"/>
          <w:sz w:val="24"/>
          <w:szCs w:val="24"/>
        </w:rPr>
        <w:lastRenderedPageBreak/>
        <w:t>Положение</w:t>
      </w:r>
    </w:p>
    <w:p w:rsidR="00511003" w:rsidRPr="00002B9F" w:rsidRDefault="00002B9F" w:rsidP="00002B9F">
      <w:pPr>
        <w:pStyle w:val="17PRIL-header-1"/>
        <w:spacing w:before="0" w:after="0" w:line="240" w:lineRule="auto"/>
        <w:ind w:left="0" w:right="0"/>
        <w:rPr>
          <w:rFonts w:ascii="Times New Roman" w:hAnsi="Times New Roman"/>
          <w:b/>
          <w:spacing w:val="0"/>
          <w:sz w:val="24"/>
          <w:szCs w:val="24"/>
        </w:rPr>
      </w:pPr>
      <w:r>
        <w:rPr>
          <w:rFonts w:ascii="Times New Roman" w:hAnsi="Times New Roman"/>
          <w:b/>
          <w:spacing w:val="0"/>
          <w:sz w:val="24"/>
          <w:szCs w:val="24"/>
        </w:rPr>
        <w:t xml:space="preserve">о </w:t>
      </w:r>
      <w:r w:rsidR="007E434C" w:rsidRPr="00227047">
        <w:rPr>
          <w:rFonts w:ascii="Times New Roman" w:hAnsi="Times New Roman"/>
          <w:b/>
          <w:spacing w:val="0"/>
          <w:sz w:val="24"/>
          <w:szCs w:val="24"/>
        </w:rPr>
        <w:t xml:space="preserve"> профессиональны</w:t>
      </w:r>
      <w:r>
        <w:rPr>
          <w:rFonts w:ascii="Times New Roman" w:hAnsi="Times New Roman"/>
          <w:b/>
          <w:spacing w:val="0"/>
          <w:sz w:val="24"/>
          <w:szCs w:val="24"/>
        </w:rPr>
        <w:t>х рисках в МБОУ «Новоандреевская школа им. В. А. Осипова»</w:t>
      </w:r>
    </w:p>
    <w:p w:rsidR="00511003" w:rsidRPr="00227047" w:rsidRDefault="00511003" w:rsidP="00286C38">
      <w:pPr>
        <w:pStyle w:val="17PRIL-header-2"/>
        <w:spacing w:before="0" w:after="0" w:line="240" w:lineRule="auto"/>
        <w:ind w:left="0" w:right="0" w:firstLine="709"/>
        <w:jc w:val="both"/>
        <w:rPr>
          <w:rFonts w:ascii="Times New Roman" w:hAnsi="Times New Roman"/>
          <w:szCs w:val="24"/>
        </w:rPr>
      </w:pP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1.1. Положение о системе управления профессиональными рисками (далее - Положение) устанавливает требования к построению системы управления профессиональными рисками у работодателя и процедурам управления профессиональными рисками.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1.2. Настоящее Положение распространяется на всех сотрудников учреждения.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1.3. Система управления профессиональными рисками является частью системы управления охраной труда МБОУ «Новоандреевская школа имени полного кавалера ордена Славы Осипова Василия Алексеевича» и включает в себя следующие основные элементы: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политика в области управления профессиональными рисками, цели, программы по их достижению;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планирование работ по управлению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процедуры системы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контроль функционирования системы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анализ эффективности функционирования системы управления профессиональными рисками со стороны работодателя и его представителей.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1.4. МБОУ«Новоандреевская школа имени полного кавалера ордена Славы Осипова Василия Алексеевича» должно поддерживать в актуальном состоянии систему управления профессиональными рисками в соответствии с требованиями настоящего Положения.</w:t>
      </w: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политике в области управления профессиональными рисками, целям и программам по их достижению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2.1. Политика работодателя в области управления профессиональными рисками должна быть частью политики работодателя в области охраны труда (далее–Политика).  Политика должна: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соответствовать видам деятельности, характеру и масштабам рисков Работодателя в области обеспечения безопасных условий труда и здоровья работников;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включать обязательства по предотвращению травм и ухудшения состояния здоровья работников, а также по постоянному улучшению системы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включать обязательства по обеспечению соответствия применимым к работодателю законодательным и другим нормативным требованиям, относящимся к существующим опасностям, возникающим при осуществлении деятельности и влияющим на обеспечение безопасных условий труда и здоровье работников;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регулярно анализироваться для обеспечения постоянного соответствия изменяющимся условиям, документироваться и поддерживаться в актуальном состоянии;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быть доступной всем работникам, включая работников подрядных организаций, и находиться в легко доступных местах для ознакомления с ней.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2.2. Работодатель должен установить цели в области обеспечения безопасных условий труда и здоровья для соответствующих видов деятельности и организационной структуры, обеспечить их достижение и актуализацию. При этом цели должны быть, где это практически возможно, измеримыми и согласованными с политикой в области обеспечения безопасных условий труда и здоровья, включая обязательства предотвращать травмы и ухудшение состояния здоровья работников, обязательства соответствовать законодательным, нормативным и другим требованиям, применимым к деятельности работодателя.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2.3. Устанавливая цели, Работодатель должен учитывать свои технологические, финансовые, производственные возможности, а также оцененные риски.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2.4. Работодатель должен разработать, внедрить и поддерживать в актуальном состоянии Программы для достижения целей в области управления профессиональными рисками (далее -Программы). Программы должны включать: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а) установление ответственности и полномочий для достижения целей между </w:t>
      </w:r>
      <w:r w:rsidRPr="00227047">
        <w:rPr>
          <w:sz w:val="24"/>
          <w:szCs w:val="24"/>
        </w:rPr>
        <w:lastRenderedPageBreak/>
        <w:t>отдельными специалистами и руководителями;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технологические, финансовые и производственные средства для достижения поставленных целей и временные пределы, когда надлежит достигнуть этих целей.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2.5. Цели и программы системы управления профессиональными рисками следует разъяснять работникам на соответствующих уровнях, в том числе при проведении обучения, консультирования и т.п.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2.6. Работодатель должен регулярно проводить анализ выполнения Программ на соответствующих уровнях, и, при необходимости, предпринимать меры по их корректировке.</w:t>
      </w: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планированию работ по внедрению системы управления профессиональными рисками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3.1. Работодатель должен планировать деятельность по формированию и внедрению системы управления профессиональными рисками. Планирование должно основываться на результатах анализа и сходной информации, которая готовится на уровне работодателя и на уровне его подразделений, а также включать анализ следующей основной исходной информации: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данные по организационной структуре, штатной численности, видов деятельности организации, производимых работ на рабочих местах, данные о производственном процессе и оборудовании;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результаты анализа производственного травматизма;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результаты анализа профессиональных заболеваний;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результаты предварительных и периодических медицинских осмотров;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результаты проведенных ранее мероприятий по снижению рисков;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3.2. Работодатель должен назначить должностное лицо, ответственное за систему управления профессиональными рисками на делить его обязанностями и правами, необходимыми для ее функционирования и поддержания в актуальном состоянии. Ответственный за систему управления профессиональными рисками должен представлять Работодателю отчет о функционировании системы для анализа ее функционирования и использования в качестве основы для улучшения системы.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3.3. Работодатель должен назначить должностных лиц, ответственных за проведение идентификации опасностей и оценки рисков</w:t>
      </w:r>
      <w:bookmarkStart w:id="0" w:name="_ftnref3"/>
      <w:bookmarkEnd w:id="0"/>
      <w:r w:rsidRPr="00227047">
        <w:rPr>
          <w:sz w:val="24"/>
          <w:szCs w:val="24"/>
        </w:rPr>
        <w:t>на имеющихся у работодателя рабочих местах, и обеспечить создание групп (команд) по идентификации опасностей и оценки рисков.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3.4. Работодатель должен назначить должностных лиц, ответственных за проведение в организации внутреннего аудита</w:t>
      </w:r>
      <w:bookmarkStart w:id="1" w:name="_ftnref4"/>
      <w:bookmarkEnd w:id="1"/>
      <w:r w:rsidRPr="00227047">
        <w:rPr>
          <w:sz w:val="24"/>
          <w:szCs w:val="24"/>
        </w:rPr>
        <w:t>системы управления профессиональными рисками, и обеспечить создание группы специалистов для проведения на постоянной основе внутреннего аудита и подготовки объективной информации работодателю для проведения анализа системы управления профессиональными рисками со стороны Работодателя.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3.5. Работодатель должен установить обязанности всех должностных лиц, на которых возложена ответственность по управлению рисками в структурных подразделениях, а также в зонах выполнения работ, с учетом законодательных, нормативных и других требований, применимым к организации.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3.6. Работодатель должен установить обязанности должностного лица, ответственного за организацию и проведение наблюдения за состоянием здоровья работников, как в рамках периодических медицинских осмотров (обследования), по оценке состояния здоровья работников для обнаружения и идентификации отклонений от нормы.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3.7. Работодатель при необходимости создает орган управления (координационный совет и т.п.), обеспечивающий проведение анализа функционирования системы управления профессиональными рисками и выработку взвешенных управленческих решений.</w:t>
      </w: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организации внедрению процедур системы управления профессиональными рисками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Работодатель в рамках системы управления профессиональными рисками должен обеспечить функционирование следующих процедур: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обучения и подготовки персонала;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lastRenderedPageBreak/>
        <w:t>б) идентификации опасностей и оценки профессиональных рисков;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документирования системы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е) информирования работников и их участия;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подготовки к аварийным ситуациям и реагирования на них.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 xml:space="preserve"> Требования к процедуре обучения и подготовки персонала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4.1.1. Обучение и (или) подготовка, а также другие планируемые мероприятия должны быть направлены как на достижение соответствия требованиям по компетентности, так и на повышение осведомленности персонала.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4.1.2. Работодатель должен обеспечить, чтобы любое должностное лицо, участвующее в принятии управленческих решений, которые могут повлиять на профессиональную безопасность и здоровье работников, являлось компетентным на основе соответствующего образования и (или) подготовки, проводимой в соответствии с порядком, утвержденным федеральным органом исполнительной власти, осуществляющим функции по выработке государственной политики и нормативно-правовом урегулированию в сфере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4.1.3. Работодатель должен специально учитывать требования к компетентности для тех лиц, которые будут выполнять следующие функции: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представители работодателя;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выполнение идентификации опасностей и оценки рисков;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выполнение работ по мониторингу системы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организация и проведение внутренних аудитов;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е) допуск персонала к работам, определенным при оценке профессиональных рисков, как связанные с повышенной опасностью.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4.1.4. Программы подготовки работников должны учитывать функции, выполняемые сотрудниками с учетом их ответственности и полномочий, а также действия работников внешних организаций. Программы подготовки персонала должны включать в себя обучающий материал по следующим вопросам: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порядок действий при возникновении аварийной ситуации, а также потенциальных последствиях отклонений от установленного технологического процесса;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последствия действий сотрудников и их поведения, связанные с профессиональными рисками для здоровья и безопасности;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необходимость выполнения обязательств и политики в области охраны труда, принятых работодателем, а также процедур, установленных в рамках системы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4.1.5. Работодатель должен обеспечивать повышение осведомленности в области обеспечения безопасных условий труда и здоровья работников внешних организаций.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процедуре идентификации опасностей и оценки профессиональных рисков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4.2.1. Процедуры идентификации опасностей и оценки профессиональных рисков должны учитывать: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повседневную (стандартную, обычную) и редко выполняемую деятельность работников, а также деятельность работников внешних организаций, имеющих доступ к зоне выполнения работ;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человеческий фактор при выполнении профессиональной деятельности работниками (возможность операционной ошибки, утомление в следствие высокого напряжения, ошибки при часто повторяющихся действиях и др.);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опасности, выявленные, как в близи, так и вне зоны выполнения работ, которые способны неблагоприятно повлиять на здоровье и безопасность работников, включая работников внешних организаций;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е) инфраструктуру, оборудование и материалы, находящиеся в зоне выполнения работ, в независимости от того, кем они предоставлены;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ж) изменения или предполагаемые изменения видов деятельности и технологических </w:t>
      </w:r>
      <w:r w:rsidRPr="00227047">
        <w:rPr>
          <w:sz w:val="24"/>
          <w:szCs w:val="24"/>
        </w:rPr>
        <w:lastRenderedPageBreak/>
        <w:t>процессов;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з) проекты зоны выполнения работ, технологические процессы, сооружения, машины, технологическое оборудование и организацию работ.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4.2.2. Процедура идентификации опасностей должна обеспечивать выявление, идентификацию и описание всех имеющихся на рабочем месте опасностей с определением потенциального ущерба без опасных условий труда и здоровья. Идентификация опасностей проводится в соответствии с Порядком оценки уровня профессионального риска, утвержденного федеральным органом исполнительной власти, осуществляющим функции по выработке государственной политики информативно- правовому регулированию в сфере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4.2.3. Процедура оценки профессиональных рисков должна: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соответствовать сложности оцениваемой деятельности и возможным последствиям;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давать результаты в простой и понятной форме, обеспечивающей возможность прослеживаемости, воспроизводимости использования для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в случае сомнений в оценке профессионального риска, или, когда предварительные оценки указывают на высокий риск, должны рассматриваться варианты оценки профессиональных рисков на основе проведения инструментальных и (или) лабораторных измерений, при проведении которых должны использоваться методы, предусмотренные действующими нормативными актами, а также поверенные в установленном порядке средства измерения;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при оценивании профессиональных рисков должны рассматриваться всевозможные воздействия идентифицированных опасностей на здоровье и безопасность, а также учитываться характер воздействия опасностей по времени.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4.2.4. Оценка профессиональных рисков должна осуществляться посредством сопоставления результатов анализа с критериями приемлемости рисков.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4.2.5. Работодатель должен выявлять опасности и оценивать профессиональные риски для здоровья и безопасности работников, связанные с осуществляемыми в организации изменениями в системе управления профессиональными рисками или в деятельности Работодателя в целом, до того, как эти изменения будут реализованы, и обеспечить учет, а каких оценок при выборе средств управления профессиональными рисками, отраженными в п. 4.3 Положения.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4.2.6. Идентификация опасностей и оценка профессиональных рисков должны проводиться совместно Работодателем и Аттестующей организацией, обладающей компетентным в соответствующих методиках и технических приемах идентификации опасностей и оценки профессиональных рисков персоналом.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4.2.7. Привлечение работников Работодателя к процессу идентификации опасностей следует осуществлять в соответствии с п.4.6 Положения.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4.2.8. Работодатель должен документировать выявленные опасности, результаты оценки уровня профессиональных рисков и поддерживать эту информацию в актуальном состоянии в соответствии с Порядком оценки уровня профессионального риска, утвержденного федеральным органом исполнительной власти, осуществляющим функции по выработке государственной политики информативно-правовому регулированию в сфере труда в соответствии с требованиями ст.209 ТКРФ.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 xml:space="preserve"> Требования к процедуре управления профессиональными рисками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4.3.1. Работодатель должен периодически анализировать результаты оценки профессиональных рисков для обоснования принимаемых управленческих решений, касающихся рисков.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4.3.2. При выборе средств управления профессиональными рисками или в случае планирования изменений существующих средств управления должны рассматриваться возможности снижения профессиональных рисков в соответствии со следующей </w:t>
      </w:r>
      <w:r w:rsidRPr="00227047">
        <w:rPr>
          <w:i/>
          <w:sz w:val="24"/>
          <w:szCs w:val="24"/>
        </w:rPr>
        <w:t>иерархией: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устранение риска;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замена одних рисков другими, менее значимыми;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lastRenderedPageBreak/>
        <w:t>в) применение технических средств снижения уровня риска;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применение плакатов и предупреждающих об опасности знаков и (или) административных средств управления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применение средств индивидуальной защиты (далее–СИЗ) персонала.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4.3.3. Для предотвращения угроз профессиональной безопасности в системе управления профессиональными рисками Работодатель должен применять ко всем видам деятельности и производственным процессам, связанными с опасностями, средства оперативного контроля в соответствии со следующей иерархией: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1) Изменение конструкции оборудования или технологий, направленные на предотвращение возникновения опасности или ее ликвидацию;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2) Применение средств сигнализации (предупреждения) о существовании опасности;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3) Применение организационных и обучающих мер управления;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4) Использование средств индивидуальной защиты(СИЗ).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4.3.4. Средства оперативного контроля применяются к следующим областям: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а) </w:t>
      </w:r>
      <w:r w:rsidRPr="00227047">
        <w:rPr>
          <w:i/>
          <w:sz w:val="24"/>
          <w:szCs w:val="24"/>
        </w:rPr>
        <w:t xml:space="preserve">работы повышенной опасности </w:t>
      </w:r>
      <w:r w:rsidRPr="00227047">
        <w:rPr>
          <w:sz w:val="24"/>
          <w:szCs w:val="24"/>
        </w:rPr>
        <w:t>(использование методик, инструкций или утвержденных методов работы в зонах повышенной опасности; применение необходимого оборудования; предварительная оценка на соответствие требованиям к работам повышенной опасности, обучение и др.);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б) </w:t>
      </w:r>
      <w:r w:rsidRPr="00227047">
        <w:rPr>
          <w:i/>
          <w:sz w:val="24"/>
          <w:szCs w:val="24"/>
        </w:rPr>
        <w:t xml:space="preserve">применение опасных материалов </w:t>
      </w:r>
      <w:r w:rsidRPr="00227047">
        <w:rPr>
          <w:sz w:val="24"/>
          <w:szCs w:val="24"/>
        </w:rPr>
        <w:t>(условия использования опасных материалов, включая информацию по применению аварийного оборудования; ограничения зон, в которых допускается использование опасных материалов; безопасные условия хранения опасных материалов и контроль доступа; условия предоставления доступа к опасным материалам; экранирование опасных материалов и др.);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в) </w:t>
      </w:r>
      <w:r w:rsidRPr="00227047">
        <w:rPr>
          <w:i/>
          <w:sz w:val="24"/>
          <w:szCs w:val="24"/>
        </w:rPr>
        <w:t xml:space="preserve">использование оборудования и услуг </w:t>
      </w:r>
      <w:r w:rsidRPr="00227047">
        <w:rPr>
          <w:sz w:val="24"/>
          <w:szCs w:val="24"/>
        </w:rPr>
        <w:t>(регулярное техническое обслуживание и ремонт оборудования, его проверка и испытание в целях предотвращения условий, угрожающих безопасности; проверка состояния зданий, сооружений, помещений и поддержание в надлежащем состоянии пешеходных путей, управление движением; предоставление, контроль и техническое обслуживание средств индивидуальной защиты; проверка и испытание систем защиты от падений, систем обеспечения электробезопасности, спасательного оборудования, системы блокирующих выключателей, оборудование для обнаружения и тушения пожара, устройства для контроля облучения,  системы вентиляции и др., а также погрузочно-разгрузочного оборудования (кранов, погрузчиков, лебедок, и др. подъемного оборудования); проверка полученных товаров, оборудования, услуг, и (периодическая) проверка их характеристик, относящихся к профессиональной безопасности и здоровью работников и др.);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г) </w:t>
      </w:r>
      <w:r w:rsidRPr="00227047">
        <w:rPr>
          <w:i/>
          <w:sz w:val="24"/>
          <w:szCs w:val="24"/>
        </w:rPr>
        <w:t xml:space="preserve">работники внешних организаций </w:t>
      </w:r>
      <w:r w:rsidRPr="00227047">
        <w:rPr>
          <w:sz w:val="24"/>
          <w:szCs w:val="24"/>
        </w:rPr>
        <w:t>(определение критериев выбора подрядчиков; сообщение требований безопасности и охраны труда подрядчикам; оценка и мониторинг профессиональной деятельности подрядчиков в области обеспечения безопасных условий труда и здоровья; определение требований к посетителям; инструктажи обучение; предупредительные вывески наглядные средства предоставления информации; мониторинг поведения посетителей и руководство их работой и др.);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д) </w:t>
      </w:r>
      <w:r w:rsidRPr="00227047">
        <w:rPr>
          <w:i/>
          <w:sz w:val="24"/>
          <w:szCs w:val="24"/>
        </w:rPr>
        <w:t xml:space="preserve">общие меры </w:t>
      </w:r>
      <w:r w:rsidRPr="00227047">
        <w:rPr>
          <w:sz w:val="24"/>
          <w:szCs w:val="24"/>
        </w:rPr>
        <w:t>(поддержание порядка в помещении и техническое обслуживание свободных дорожек для прохода; поддержание тепловой окружающей среды (температура, качество воздуха); поддержание в актуальном состоянии планов действий в аварийных ситуациях; не допустимость злоупотребления наркотиками и алкоголем и т.п.; программы охраны здоровья (программы медицинского обследования и т.п.); программы обучения и повышения осведомленности работников, включая работников внешних организаций, меры контроля допуска и др.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4.3.5. Работодатель должен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местах, инструктирование и обучение по вопросам системы управления профессиональными рисками и др.) и отдавать им предпочтение.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lastRenderedPageBreak/>
        <w:t>4.3.6. При реализации средств управления профессиональными рисками мероприятия должны быть направлены на выполнение законодательных, нормативных и других требований, применимых к работодателю.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4.3.7. Для эффективного выполнения мероприятий по управлению профессиональными рисками, работодатель должен использовать, как правило, сочетание различных мер, и не полагаться на одну единственную меру.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процедуре подготовки к аварийным ситуациям и реагирования на них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4.4.1. Работодатель в рамках данной процедуры должен обеспечить: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выявление потенциально возможных аварийных ситуаций;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реагирование на такие аварийные ситуации (возникшие и тренировочные, в рамках практических занятий).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4.4.2. Работодатель должен реагировать на реально возникшие аварийные ситуации и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предупреждать или уменьшать связанные с ними неблагоприятные последствия для обеспечения безопасных условий труда и здоровья работников. Для этого он должен, где это практически возможно, периодически проводить тренировочные (практические) занятия по обеспечению реагирования на аварийные ситуации, привлекая к этому, по возможности, соответствующие заинтересованные стороны.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4.4.3. Работодатель должен периодически анализировать и, при необходимости, пересматривать свою подготовку к аварийным ситуациям и реагирования на них, в особенности после периодических тренировочных (практических) занятий, а также после имевших место аварийных ситуаций.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процедуре документирования системы управления профессиональными рисками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4.5.1. Работодатель должен поддерживать соответствующую текущему периоду времени документацию системы управления профессиональными рисками, достаточную для обеспечения доказательства того, что данная система внедрена, поддерживается в актуальном состоянии и соответствует требованиям настоящего Положения.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4.5.2. Документация системы управления профессиональными рисками должна включать: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политику в области охраны труда и управления профессиональными рисками и цели в области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документацию выполнения требований настоящего Положения;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4.5.3. Работодатель должен поддерживать документацию в актуальном состоянии путем: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утверждения документов на предмет их адекватности до их выпуска;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анализа, актуализации (при необходимости) и переутверждения документов;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обеспечения идентификации изменений и статуса действующей в настоящий момент редакции документов;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обеспечения того, чтобы соответствующие версии (редакции) применимых документов находились в местах их использования;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обеспечения сохранности документов в состоянии, позволяющем их прочитать и легко идентифицировать;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е) обеспечения того, чтобы документы, определенные Работодателем как необходимые для планирования и функционирования системы управления профессиональными рисками, могли быть выявлены и использованы;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ж) предотвращения непреднамеренного использования устаревших (вышедших из употребления) документов.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4.5.4. Работодатель в рамках данной процедуры должен обеспечить учет законодательных, нормативных и других требований по обеспечению безопасных условий труда и здоровья. При этом информация о применимых к работодателю законодательных, нормативных и других требованиях должна постоянно актуализироваться и доводиться до работников и работников внешних организаций и других заинтересованных лиц.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lastRenderedPageBreak/>
        <w:t xml:space="preserve"> Требования к процедуре информирования работников и их участия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4.6.1. Для обеспечения эффективной работы системы управления профессиональными рисками, а также использования процессов обмена информацией и консультаций в рамках функционирования системы, Работодатель должен обеспечить: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обмен информацией и консультирование в отношении рисков для безопасных условий труда и здоровья между различными уровнями структурными подразделениями Работодателя, а также с работниками внешних организаций;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документирование соответствующих обращений внешних заинтересованных сторон, а также ответа на них.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4.6.2. В рамках информирования работников внешних организаций Работодатель должен определить структуры и назначить ответственных исполнителей, предназначенных для информирования подрядчиков и посетителей о своих требованиях в области обеспечения безопасных условий труда и здоровья. При этом информация должна соответствовать опасностями профессиональным рискам, связанным с выполняемой работой и предусматривать уведомление о последствиях невыполнения условий соответствия требованиям безопасности.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4.6.3. Работодатель должен информировать работников внешних организаций об имеющихся средствах оперативного контроля (системы контроля прохода на территорию, наличие нарядно-допускной системы выполнения работ, и т.п.)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4.6.4. Работодатель в рамках информирования работников внешних организаций должен быть установлен порядок, обеспечивающий проведение консультаций на месте выполнения работ.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4.6.5. В отношении работников внешних организаций обмен информацией должен включать как минимум: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требования безопасности, относящиеся к посетителям;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процедуры эвакуации и реакция на сигналы тревоги;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контроль перемещения;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контроль доступа и требования по сопровождению;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средства индивидуальной защиты, которые необходимо применять (каски, защитные очки и т.п.).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4.6.6. Работодатель должен создать условия для: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вовлечения работников в деятельность в области обеспечения безопасных условий труда и здоровья путем: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привлечения их к идентификации опасностей, оценке профессиональных рисков и выбору средств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привлечения их к проведению анализа несчастных случаев;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привлечения их к разработке и анализу политики и целей в области охраны здоровья и безопасности труда;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консультирования их по всем изменениям, которые могут повлиять на охрану их здоровья и обеспечение безопасности их труда;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е) привлечения их официальных представителей к рассмотрению вопросов охраны здоровья и безопасности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ж) консультирования работников внешних организаций в случае реализации каких-либо изменений, которые могут повлиять на обстоятельства, влияющие на охрану здоровья их работников и обеспечение безопасности их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4.6.7. Работники обязаны оказывать поддержку политике Работодателя в области обеспечения безопасных условий труда и здоровья за счет ответственного выполнения обязательств соблюдать требования охраны труда, установленные законами и иными нормативными правовыми актами, а также требования настоящего Положения.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4.6.8. Работники должны правильно применять    средства индивидуальной и коллективной защиты.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4.6.9. Работники должны проходить обучение безопасным методам и приемам выполнения работ, оказанию первой помощи пострадавшим на производстве, инструктаж по </w:t>
      </w:r>
      <w:r w:rsidRPr="00227047">
        <w:rPr>
          <w:sz w:val="24"/>
          <w:szCs w:val="24"/>
        </w:rPr>
        <w:lastRenderedPageBreak/>
        <w:t>охране труда, стажировку на рабочем месте, проверку знаний требований охраны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4.6.10. Работники обязаны содействовать наиболее полному выявлению источников опасностей и причин неправильных действий, участвовать в оценке рисков.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4.6.11. Работники должны оказывать содействие проведению анализа несчастных случаев на производстве.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4.6.12. Работники должны знать, кто является их полномочным представителем по вопросам безопасных условий труда и здоровья.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4.6.13. Работники обязаны немедленно извещать своего непосредственного или вышестоящего руководителя о любой ситуации, угрожающей жизни и здоровью людей, о каждом случае травмирования, или об ухудшении состояния здоровья, в том числе о проявлении признаков острого заболевания (отравления), а также о выявленном у него профессиональном заболевании.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4.6.14. Работники обязаны проходить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законодательством России.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4.6.15. Работники несут ответственность за соблюдение выполнения порученных им работ (действий), регламентированных процедурами в рамках системы управления профессиональными рисками.</w:t>
      </w: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Контроль функционирования системы управления профессиональными рисками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>Работодатель должен обеспечить контроль функционирования системы управления профессиональными рисками посредством реализации процедур мониторинга и внутреннего аудита системы.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>Процедура мониторинга в системе управления профессиональными рисками включает в себя качественные и количественные измерения и оценки состояния выполнения требований настоящего Положения, выполняемые с целью получения информации о состоянии и эффективности работы системы в целом. Мониторинг должен включать в себя следующие основные составляющие: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а) мониторинг условий труда и оценку профессиональных рисков;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б) мониторинг (расследование) несчастных случаев, ухудшения здоровья работников, болезней, профзаболеваний;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в) мониторинг несоответствий в области обеспечения безопасных условий труда и здоровья работников;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г) мониторинг Программ по достижению целей в области обеспечения безопасных условий труда и здоровья работников;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д) мониторинг программ реабилитации работников и финансовых затрат, связанных с ущербом для здоровья и безопасности работников.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>Внутренние аудиты (проверки) системы управления профессиональными рисками направлены на определение соответствия требованиям настоящего Положения и оценку результативности системы в целом. Внутренний аудит (проверка) должен проводиться в соответствии с Программой аудита и критериями аудита.</w:t>
      </w:r>
    </w:p>
    <w:p w:rsidR="00511003" w:rsidRPr="00286C38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>В результаты внутреннего аудита (проверки) должны включаться свидетельства аудита (факты) подтверждающие выполнение или не выполнение требований настоящего Положения. Результаты внутреннего аудита должны быть использованы в анализе системы управления профессиональными рисками высшим руководством с целью формирования корректирующих действий по улучшению системы управления профессиональными рисками.</w:t>
      </w: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процедуре анализа эффективности функционирования системы управления профессиональными рисками со стороны работодателя и его представителей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 xml:space="preserve">Работодатель должен обеспечить анализ функционирования системы управления профессиональными рисками, входными данными для которого являются </w:t>
      </w:r>
      <w:r w:rsidRPr="00227047">
        <w:rPr>
          <w:rFonts w:ascii="Times New Roman" w:hAnsi="Times New Roman"/>
          <w:sz w:val="24"/>
          <w:szCs w:val="24"/>
        </w:rPr>
        <w:lastRenderedPageBreak/>
        <w:t>результаты мониторинга системы управления профессиональными рисками, аудитов и проверок, а также результатов предыдущего анализа со стороны работодателя и его представителей.</w:t>
      </w:r>
    </w:p>
    <w:p w:rsidR="00511003" w:rsidRPr="00286C38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>Результаты анализа системы управления профессиональными рисками со стороны работодателя и его представителей должны быть согласованными с обязательством работодателя относительно постоянного улучшения и включать в себя решения и действия, относящиеся к возможным изменениям политики, целей в области обеспечения безопасных условий труда и здоровья работников, а также всех элементов системы управления профессиональными рисками.</w:t>
      </w: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надзору и контролю</w:t>
      </w:r>
    </w:p>
    <w:p w:rsidR="00511003" w:rsidRPr="00227047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>Государственный надзор и контроль за соблюдением работодателем требований настоящего Положения осуществляется федеральным органом исполнительной власти, уполномоченным на проведение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</w:t>
      </w:r>
    </w:p>
    <w:p w:rsidR="00511003" w:rsidRPr="00286C38" w:rsidRDefault="007E434C" w:rsidP="00286C38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047">
        <w:rPr>
          <w:rFonts w:ascii="Times New Roman" w:hAnsi="Times New Roman"/>
          <w:sz w:val="24"/>
          <w:szCs w:val="24"/>
        </w:rPr>
        <w:t>Контроль за соблюдением работодателями требований Положения в подведомственных организациях осуществляется в соответствии со статьями 353 и 370 Трудового кодекса Российской Федерации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союзами, их объединениями и состоящими в их ведении техническими инспекторами труда, и уполномоченными (доверенными) лицами по охране труда.</w:t>
      </w:r>
    </w:p>
    <w:p w:rsidR="00511003" w:rsidRPr="00227047" w:rsidRDefault="007E434C" w:rsidP="00286C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27047">
        <w:rPr>
          <w:rFonts w:ascii="Times New Roman" w:hAnsi="Times New Roman"/>
          <w:b/>
          <w:sz w:val="24"/>
          <w:szCs w:val="24"/>
        </w:rPr>
        <w:t>Требования к организации и внедрению процедур системы управления профессиональными рисками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Работодатель в рамках системы управления профессиональными рисками должен обеспечить функционирование следующих процедур: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•обучения и подготовки персонала;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•идентификации опасностей и оценки профессиональных рисков;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•документирования системы управления профессиональными рисками;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•информирования работников и их участия;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•подготовки к аварийным ситуациям и реагирования на них.</w:t>
      </w:r>
    </w:p>
    <w:p w:rsidR="00511003" w:rsidRPr="00227047" w:rsidRDefault="007E434C" w:rsidP="00286C38">
      <w:pPr>
        <w:ind w:firstLine="709"/>
        <w:contextualSpacing/>
        <w:jc w:val="both"/>
        <w:rPr>
          <w:b/>
          <w:i/>
          <w:sz w:val="24"/>
          <w:szCs w:val="24"/>
        </w:rPr>
      </w:pPr>
      <w:r w:rsidRPr="00227047">
        <w:rPr>
          <w:b/>
          <w:i/>
          <w:sz w:val="24"/>
          <w:szCs w:val="24"/>
        </w:rPr>
        <w:t>Уровень профессионального риска характеризует: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•вероятность (частота для данной профессиональной группы работающих за определенный период времени) наступления страховых случаев, приводящих к утрате заработков из-за несчастных случаев на производстве;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•виды (нозология) и продолжительность повреждения здоровья (утраты трудоспособности);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•набор компенсационных выплат, медицинских и реабилитационных услуг, требующихся для конкретной профессиональной группы работающих.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При определении уровня профессионального риска оценка условий труда на рабочих местах по гигиеническим критериям является предварительной и должна дополняться оценкой фактического его воздействия на состояние здоровья работающих с использованием медико-статистических показателей уровней профессиональной заболеваемости и тяжести их последствий.</w:t>
      </w:r>
    </w:p>
    <w:p w:rsidR="00511003" w:rsidRPr="00227047" w:rsidRDefault="007E434C" w:rsidP="00286C38">
      <w:pPr>
        <w:ind w:firstLine="709"/>
        <w:contextualSpacing/>
        <w:jc w:val="both"/>
        <w:rPr>
          <w:i/>
          <w:sz w:val="24"/>
          <w:szCs w:val="24"/>
        </w:rPr>
      </w:pPr>
      <w:r w:rsidRPr="00227047">
        <w:rPr>
          <w:b/>
          <w:i/>
          <w:sz w:val="24"/>
          <w:szCs w:val="24"/>
        </w:rPr>
        <w:t>Взаимосвязанные процедуры системы управления профессиональными рисками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•Выявление, оценка и учет вредных и опасных факторов производственной среды (факторов профессионального риска).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•Разработка и обоснование мероприятий по улучшению и оздоровлению условий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•Внедрение и контроль исполнения мероприятий по улучшению и оздоровлению условий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lastRenderedPageBreak/>
        <w:t>•Контроль факторов профессионального риска.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•Подготовка корректирующих действий.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Источник, ситуация или действие с потенциальным вредом в виде травмы или ухудшения состояния здоровья либо их сочетания.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Процесс признания того, что опасность существует, и определения ее характеристик. Процесс оценивания риска, связанного с опасностью, принимающий во внимание полноту всех существующих средств управления и позволяющий решить вопрос о том, является ли риск приемлемым или нет.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Систематический, независимый и документируемый процесс получения «свидетельств аудита» и их объективного оценивания для определения степени соответствия «критериям аудита».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Проявленные личные качества и выраженная способность применять свои знания и навыки</w:t>
      </w:r>
      <w:bookmarkStart w:id="2" w:name="_ftn6"/>
      <w:r w:rsidRPr="00227047">
        <w:rPr>
          <w:sz w:val="24"/>
          <w:szCs w:val="24"/>
        </w:rPr>
        <w:t xml:space="preserve">. </w:t>
      </w:r>
      <w:bookmarkEnd w:id="2"/>
      <w:r w:rsidRPr="00227047">
        <w:rPr>
          <w:sz w:val="24"/>
          <w:szCs w:val="24"/>
        </w:rPr>
        <w:t>Процесс постоянного отслеживания показателей (результатов качественных и количественных измерений и оценок выполнения требований настоящего Положения) с целью получения информации о состоянии условий труда и эффективности работы системы управления профессиональными рисками.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Работники и посетители, не состоящие в трудовых отношениях с Работодателем, на территории которого выполняется работа или другая деятельность.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Риск, сниженный до уровня, который может поддерживать организация, учитывая свои правовые обязательства и свою собственную политику в области обеспечения безопасных условий труда и здоровья.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При применении средств индивидуальной защиты для обеспечения защищенности работника он должен быть информирован о тех рисках, для защиты от которых его может защитить данное СИЗ; при применении СИЗ необходимо обеспечить соответствие их существующим условиям труда на рабочем месте, а также правильное использование и обслуживание СИЗ; при неправильном использовании или обслуживании СИЗ у работника может создаваться ложное чувство защищенности; СИЗ могут создавать неудобства или быть вредными для здоровья или опасными для работы, т.е. являться дополнительным источником риска; СИЗ защищают только данного пользователя, в то время как другие работники, оказывающиеся в этой рабочей зоне, остаются не защищенными.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Повседневная целенаправленная деятельность по предотвращению возникновения и ликвидации опасных ситуаций при выполнении производственных (технологических) процессов и действий.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Это связанное с работой событие (я), которое привело к травме, ухудшению состояния здоровья или смерти.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Работники должны быть информированы о возможностях их участия в деятельности по охране здоровья и безопасности труда, включая информацию о том, кто является их полномочным представителем по вопросам охраны здоровья и безопасности труда.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Невыполнение требования.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Совокупность политики, процедур или требований, используемых для сопоставления с ними свидетельств аудита.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Лицо или группа работников, осуществляющих направление деятельности и управление </w:t>
      </w:r>
      <w:r w:rsidRPr="00227047">
        <w:rPr>
          <w:b/>
          <w:sz w:val="24"/>
          <w:szCs w:val="24"/>
        </w:rPr>
        <w:t xml:space="preserve">организацией </w:t>
      </w:r>
      <w:r w:rsidRPr="00227047">
        <w:rPr>
          <w:sz w:val="24"/>
          <w:szCs w:val="24"/>
        </w:rPr>
        <w:t>на высшем уровне.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Действия для устранения причины обнаруженного несоответствия или другой выявленной нежелательной (негативной) ситуации.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002B9F">
        <w:rPr>
          <w:b/>
          <w:sz w:val="24"/>
          <w:szCs w:val="24"/>
        </w:rPr>
        <w:t>Управление профессиональными рисками</w:t>
      </w:r>
      <w:r w:rsidR="00002B9F" w:rsidRPr="00002B9F">
        <w:rPr>
          <w:b/>
          <w:sz w:val="24"/>
          <w:szCs w:val="24"/>
        </w:rPr>
        <w:t xml:space="preserve"> </w:t>
      </w:r>
      <w:r w:rsidRPr="00227047">
        <w:rPr>
          <w:sz w:val="24"/>
          <w:szCs w:val="24"/>
        </w:rPr>
        <w:t>–</w:t>
      </w:r>
      <w:r w:rsidR="00002B9F">
        <w:rPr>
          <w:sz w:val="24"/>
          <w:szCs w:val="24"/>
        </w:rPr>
        <w:t xml:space="preserve"> </w:t>
      </w:r>
      <w:r w:rsidRPr="00227047">
        <w:rPr>
          <w:sz w:val="24"/>
          <w:szCs w:val="24"/>
        </w:rPr>
        <w:t>механизм, позволяющий обеспечивать безопасность и улучшение условий труда на предприятии.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>Система управления профессиональными рисками является частью системы управления охраной труда работодателя и включает в себя следующие основные элементы:</w:t>
      </w:r>
    </w:p>
    <w:p w:rsidR="00511003" w:rsidRPr="00227047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  эффективности функционирования системы управления профессиональными рисками со стороны работодателя и его представителей.</w:t>
      </w:r>
    </w:p>
    <w:p w:rsidR="00511003" w:rsidRPr="00286C38" w:rsidRDefault="007E434C" w:rsidP="00286C38">
      <w:pPr>
        <w:ind w:firstLine="709"/>
        <w:contextualSpacing/>
        <w:jc w:val="both"/>
        <w:rPr>
          <w:sz w:val="24"/>
          <w:szCs w:val="24"/>
        </w:rPr>
      </w:pPr>
      <w:r w:rsidRPr="00227047">
        <w:rPr>
          <w:sz w:val="24"/>
          <w:szCs w:val="24"/>
        </w:rPr>
        <w:t xml:space="preserve">Работодатель должен поддерживать в актуальном состоянии систему управления профессиональными рисками в соответствии с требованиями настоящего </w:t>
      </w:r>
      <w:r w:rsidRPr="00002B9F">
        <w:rPr>
          <w:sz w:val="24"/>
          <w:szCs w:val="24"/>
        </w:rPr>
        <w:t>Положения</w:t>
      </w:r>
      <w:r w:rsidR="00002B9F" w:rsidRPr="00002B9F">
        <w:rPr>
          <w:sz w:val="24"/>
          <w:szCs w:val="24"/>
        </w:rPr>
        <w:t>.</w:t>
      </w:r>
    </w:p>
    <w:sectPr w:rsidR="00511003" w:rsidRPr="00286C38" w:rsidSect="00BF5F99">
      <w:headerReference w:type="default" r:id="rId8"/>
      <w:footerReference w:type="default" r:id="rId9"/>
      <w:pgSz w:w="11906" w:h="16838"/>
      <w:pgMar w:top="719" w:right="850" w:bottom="1134" w:left="1418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F58" w:rsidRDefault="00C11F58">
      <w:r>
        <w:separator/>
      </w:r>
    </w:p>
  </w:endnote>
  <w:endnote w:type="continuationSeparator" w:id="1">
    <w:p w:rsidR="00C11F58" w:rsidRDefault="00C11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extBook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SchlbkCy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003" w:rsidRDefault="00BF5F99">
    <w:pPr>
      <w:framePr w:wrap="around" w:vAnchor="text" w:hAnchor="margin" w:xAlign="center" w:y="1"/>
    </w:pPr>
    <w:r>
      <w:rPr>
        <w:rStyle w:val="aa"/>
      </w:rPr>
      <w:fldChar w:fldCharType="begin"/>
    </w:r>
    <w:r w:rsidR="007E434C">
      <w:rPr>
        <w:rStyle w:val="aa"/>
      </w:rPr>
      <w:instrText xml:space="preserve">PAGE </w:instrText>
    </w:r>
    <w:r>
      <w:rPr>
        <w:rStyle w:val="aa"/>
      </w:rPr>
      <w:fldChar w:fldCharType="separate"/>
    </w:r>
    <w:r w:rsidR="00286C38">
      <w:rPr>
        <w:rStyle w:val="aa"/>
        <w:noProof/>
      </w:rPr>
      <w:t>2</w:t>
    </w:r>
    <w:r>
      <w:rPr>
        <w:rStyle w:val="aa"/>
      </w:rPr>
      <w:fldChar w:fldCharType="end"/>
    </w:r>
  </w:p>
  <w:p w:rsidR="00511003" w:rsidRDefault="00511003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F58" w:rsidRDefault="00C11F58">
      <w:r>
        <w:separator/>
      </w:r>
    </w:p>
  </w:footnote>
  <w:footnote w:type="continuationSeparator" w:id="1">
    <w:p w:rsidR="00C11F58" w:rsidRDefault="00C11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003" w:rsidRDefault="0051100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E63"/>
    <w:multiLevelType w:val="multilevel"/>
    <w:tmpl w:val="1BFA896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003"/>
    <w:rsid w:val="00002B9F"/>
    <w:rsid w:val="00227047"/>
    <w:rsid w:val="00286C38"/>
    <w:rsid w:val="00511003"/>
    <w:rsid w:val="007E434C"/>
    <w:rsid w:val="00815815"/>
    <w:rsid w:val="00B50A0A"/>
    <w:rsid w:val="00BF5F99"/>
    <w:rsid w:val="00C11F58"/>
    <w:rsid w:val="00D131E2"/>
    <w:rsid w:val="00F11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BF5F99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BF5F99"/>
    <w:pPr>
      <w:widowControl/>
      <w:spacing w:before="400" w:after="200" w:line="252" w:lineRule="auto"/>
      <w:jc w:val="center"/>
      <w:outlineLvl w:val="0"/>
    </w:pPr>
    <w:rPr>
      <w:rFonts w:ascii="Calibri Light" w:hAnsi="Calibri Light"/>
      <w:caps/>
      <w:color w:val="833C0B"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BF5F99"/>
    <w:pPr>
      <w:keepNext/>
      <w:spacing w:before="490" w:line="259" w:lineRule="exact"/>
      <w:jc w:val="center"/>
      <w:outlineLvl w:val="1"/>
    </w:pPr>
    <w:rPr>
      <w:b/>
      <w:spacing w:val="-4"/>
      <w:sz w:val="32"/>
    </w:rPr>
  </w:style>
  <w:style w:type="paragraph" w:styleId="3">
    <w:name w:val="heading 3"/>
    <w:basedOn w:val="a"/>
    <w:next w:val="a"/>
    <w:link w:val="30"/>
    <w:uiPriority w:val="9"/>
    <w:qFormat/>
    <w:rsid w:val="00BF5F99"/>
    <w:pPr>
      <w:widowControl/>
      <w:spacing w:before="300" w:after="200" w:line="252" w:lineRule="auto"/>
      <w:jc w:val="center"/>
      <w:outlineLvl w:val="2"/>
    </w:pPr>
    <w:rPr>
      <w:rFonts w:ascii="Calibri Light" w:hAnsi="Calibri Light"/>
      <w:caps/>
      <w:color w:val="823B0B"/>
      <w:sz w:val="24"/>
    </w:rPr>
  </w:style>
  <w:style w:type="paragraph" w:styleId="4">
    <w:name w:val="heading 4"/>
    <w:basedOn w:val="a"/>
    <w:next w:val="a"/>
    <w:link w:val="40"/>
    <w:uiPriority w:val="9"/>
    <w:qFormat/>
    <w:rsid w:val="00BF5F99"/>
    <w:pPr>
      <w:widowControl/>
      <w:spacing w:after="120" w:line="252" w:lineRule="auto"/>
      <w:jc w:val="center"/>
      <w:outlineLvl w:val="3"/>
    </w:pPr>
    <w:rPr>
      <w:rFonts w:ascii="Calibri Light" w:hAnsi="Calibri Light"/>
      <w:caps/>
      <w:color w:val="823B0B"/>
      <w:spacing w:val="10"/>
      <w:sz w:val="22"/>
    </w:rPr>
  </w:style>
  <w:style w:type="paragraph" w:styleId="5">
    <w:name w:val="heading 5"/>
    <w:basedOn w:val="a"/>
    <w:next w:val="a"/>
    <w:link w:val="50"/>
    <w:uiPriority w:val="9"/>
    <w:qFormat/>
    <w:rsid w:val="00BF5F99"/>
    <w:pPr>
      <w:widowControl/>
      <w:spacing w:before="320" w:after="120" w:line="252" w:lineRule="auto"/>
      <w:jc w:val="center"/>
      <w:outlineLvl w:val="4"/>
    </w:pPr>
    <w:rPr>
      <w:rFonts w:ascii="Calibri Light" w:hAnsi="Calibri Light"/>
      <w:caps/>
      <w:color w:val="823B0B"/>
      <w:spacing w:val="10"/>
      <w:sz w:val="22"/>
    </w:rPr>
  </w:style>
  <w:style w:type="paragraph" w:styleId="6">
    <w:name w:val="heading 6"/>
    <w:basedOn w:val="a"/>
    <w:next w:val="a"/>
    <w:link w:val="60"/>
    <w:uiPriority w:val="9"/>
    <w:qFormat/>
    <w:rsid w:val="00BF5F99"/>
    <w:pPr>
      <w:widowControl/>
      <w:spacing w:after="120" w:line="252" w:lineRule="auto"/>
      <w:jc w:val="center"/>
      <w:outlineLvl w:val="5"/>
    </w:pPr>
    <w:rPr>
      <w:rFonts w:ascii="Calibri Light" w:hAnsi="Calibri Light"/>
      <w:caps/>
      <w:color w:val="C45911"/>
      <w:spacing w:val="10"/>
      <w:sz w:val="22"/>
    </w:rPr>
  </w:style>
  <w:style w:type="paragraph" w:styleId="7">
    <w:name w:val="heading 7"/>
    <w:basedOn w:val="a"/>
    <w:next w:val="a"/>
    <w:link w:val="70"/>
    <w:uiPriority w:val="9"/>
    <w:qFormat/>
    <w:rsid w:val="00BF5F99"/>
    <w:pPr>
      <w:widowControl/>
      <w:spacing w:after="120" w:line="252" w:lineRule="auto"/>
      <w:jc w:val="center"/>
      <w:outlineLvl w:val="6"/>
    </w:pPr>
    <w:rPr>
      <w:rFonts w:ascii="Calibri Light" w:hAnsi="Calibri Light"/>
      <w:i/>
      <w:caps/>
      <w:color w:val="C45911"/>
      <w:spacing w:val="10"/>
      <w:sz w:val="22"/>
    </w:rPr>
  </w:style>
  <w:style w:type="paragraph" w:styleId="8">
    <w:name w:val="heading 8"/>
    <w:basedOn w:val="a"/>
    <w:next w:val="a"/>
    <w:link w:val="80"/>
    <w:uiPriority w:val="9"/>
    <w:qFormat/>
    <w:rsid w:val="00BF5F99"/>
    <w:pPr>
      <w:widowControl/>
      <w:spacing w:after="120" w:line="252" w:lineRule="auto"/>
      <w:jc w:val="center"/>
      <w:outlineLvl w:val="7"/>
    </w:pPr>
    <w:rPr>
      <w:rFonts w:ascii="Calibri Light" w:hAnsi="Calibri Light"/>
      <w:caps/>
      <w:spacing w:val="10"/>
    </w:rPr>
  </w:style>
  <w:style w:type="paragraph" w:styleId="9">
    <w:name w:val="heading 9"/>
    <w:basedOn w:val="a"/>
    <w:next w:val="a"/>
    <w:link w:val="90"/>
    <w:uiPriority w:val="9"/>
    <w:qFormat/>
    <w:rsid w:val="00BF5F99"/>
    <w:pPr>
      <w:widowControl/>
      <w:spacing w:after="120" w:line="252" w:lineRule="auto"/>
      <w:jc w:val="center"/>
      <w:outlineLvl w:val="8"/>
    </w:pPr>
    <w:rPr>
      <w:rFonts w:ascii="Calibri Light" w:hAnsi="Calibri Light"/>
      <w:i/>
      <w:caps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F5F99"/>
  </w:style>
  <w:style w:type="paragraph" w:customStyle="1" w:styleId="17PRIL-header-2">
    <w:name w:val="17PRIL-header-2"/>
    <w:basedOn w:val="17PRIL-header-1"/>
    <w:link w:val="17PRIL-header-20"/>
    <w:rsid w:val="00BF5F99"/>
    <w:pPr>
      <w:spacing w:before="397" w:after="57"/>
    </w:pPr>
    <w:rPr>
      <w:spacing w:val="0"/>
      <w:sz w:val="24"/>
    </w:rPr>
  </w:style>
  <w:style w:type="character" w:customStyle="1" w:styleId="17PRIL-header-20">
    <w:name w:val="17PRIL-header-2"/>
    <w:basedOn w:val="17PRIL-header-10"/>
    <w:link w:val="17PRIL-header-2"/>
    <w:rsid w:val="00BF5F99"/>
    <w:rPr>
      <w:rFonts w:ascii="TextBookC" w:hAnsi="TextBookC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BF5F99"/>
    <w:pPr>
      <w:ind w:left="200"/>
    </w:pPr>
  </w:style>
  <w:style w:type="character" w:customStyle="1" w:styleId="22">
    <w:name w:val="Оглавление 2 Знак"/>
    <w:link w:val="21"/>
    <w:rsid w:val="00BF5F99"/>
  </w:style>
  <w:style w:type="paragraph" w:customStyle="1" w:styleId="12">
    <w:name w:val="Выделение1"/>
    <w:link w:val="a3"/>
    <w:rsid w:val="00BF5F99"/>
    <w:rPr>
      <w:caps/>
      <w:spacing w:val="5"/>
    </w:rPr>
  </w:style>
  <w:style w:type="character" w:styleId="a3">
    <w:name w:val="Emphasis"/>
    <w:link w:val="12"/>
    <w:rsid w:val="00BF5F99"/>
    <w:rPr>
      <w:caps/>
      <w:spacing w:val="5"/>
      <w:sz w:val="20"/>
    </w:rPr>
  </w:style>
  <w:style w:type="paragraph" w:styleId="23">
    <w:name w:val="Quote"/>
    <w:basedOn w:val="a"/>
    <w:next w:val="a"/>
    <w:link w:val="24"/>
    <w:rsid w:val="00BF5F99"/>
    <w:pPr>
      <w:widowControl/>
      <w:spacing w:after="200" w:line="252" w:lineRule="auto"/>
    </w:pPr>
    <w:rPr>
      <w:rFonts w:ascii="Calibri Light" w:hAnsi="Calibri Light"/>
      <w:i/>
      <w:sz w:val="22"/>
    </w:rPr>
  </w:style>
  <w:style w:type="character" w:customStyle="1" w:styleId="24">
    <w:name w:val="Цитата 2 Знак"/>
    <w:basedOn w:val="1"/>
    <w:link w:val="23"/>
    <w:rsid w:val="00BF5F99"/>
    <w:rPr>
      <w:rFonts w:ascii="Calibri Light" w:hAnsi="Calibri Light"/>
      <w:i/>
      <w:sz w:val="22"/>
    </w:rPr>
  </w:style>
  <w:style w:type="paragraph" w:customStyle="1" w:styleId="12TABL-hroom">
    <w:name w:val="12TABL-hroom"/>
    <w:basedOn w:val="a"/>
    <w:link w:val="12TABL-hroom0"/>
    <w:rsid w:val="00BF5F99"/>
    <w:pPr>
      <w:widowControl/>
      <w:spacing w:line="240" w:lineRule="atLeast"/>
    </w:pPr>
    <w:rPr>
      <w:rFonts w:ascii="TextBookC" w:hAnsi="TextBookC"/>
      <w:b/>
      <w:color w:val="00FFFF"/>
      <w:sz w:val="18"/>
    </w:rPr>
  </w:style>
  <w:style w:type="character" w:customStyle="1" w:styleId="12TABL-hroom0">
    <w:name w:val="12TABL-hroom"/>
    <w:basedOn w:val="1"/>
    <w:link w:val="12TABL-hroom"/>
    <w:rsid w:val="00BF5F99"/>
    <w:rPr>
      <w:rFonts w:ascii="TextBookC" w:hAnsi="TextBookC"/>
      <w:b/>
      <w:color w:val="00FFFF"/>
      <w:sz w:val="18"/>
    </w:rPr>
  </w:style>
  <w:style w:type="paragraph" w:customStyle="1" w:styleId="17PRIL-txt">
    <w:name w:val="17PRIL-txt"/>
    <w:basedOn w:val="a4"/>
    <w:link w:val="17PRIL-txt0"/>
    <w:rsid w:val="00BF5F9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/>
      <w:sz w:val="20"/>
    </w:rPr>
  </w:style>
  <w:style w:type="character" w:customStyle="1" w:styleId="17PRIL-txt0">
    <w:name w:val="17PRIL-txt"/>
    <w:basedOn w:val="a5"/>
    <w:link w:val="17PRIL-txt"/>
    <w:rsid w:val="00BF5F99"/>
    <w:rPr>
      <w:rFonts w:ascii="TextBookC" w:hAnsi="TextBookC"/>
      <w:color w:val="000000"/>
      <w:sz w:val="20"/>
    </w:rPr>
  </w:style>
  <w:style w:type="paragraph" w:styleId="41">
    <w:name w:val="toc 4"/>
    <w:next w:val="a"/>
    <w:link w:val="42"/>
    <w:uiPriority w:val="39"/>
    <w:rsid w:val="00BF5F99"/>
    <w:pPr>
      <w:ind w:left="600"/>
    </w:pPr>
  </w:style>
  <w:style w:type="character" w:customStyle="1" w:styleId="42">
    <w:name w:val="Оглавление 4 Знак"/>
    <w:link w:val="41"/>
    <w:rsid w:val="00BF5F99"/>
  </w:style>
  <w:style w:type="character" w:customStyle="1" w:styleId="70">
    <w:name w:val="Заголовок 7 Знак"/>
    <w:basedOn w:val="1"/>
    <w:link w:val="7"/>
    <w:rsid w:val="00BF5F99"/>
    <w:rPr>
      <w:rFonts w:ascii="Calibri Light" w:hAnsi="Calibri Light"/>
      <w:i/>
      <w:caps/>
      <w:color w:val="C45911"/>
      <w:spacing w:val="10"/>
      <w:sz w:val="22"/>
    </w:rPr>
  </w:style>
  <w:style w:type="paragraph" w:styleId="a6">
    <w:name w:val="header"/>
    <w:basedOn w:val="a"/>
    <w:link w:val="a7"/>
    <w:rsid w:val="00BF5F99"/>
    <w:pPr>
      <w:widowControl/>
      <w:tabs>
        <w:tab w:val="center" w:pos="4677"/>
        <w:tab w:val="right" w:pos="9355"/>
      </w:tabs>
    </w:pPr>
    <w:rPr>
      <w:rFonts w:ascii="Calibri Light" w:hAnsi="Calibri Light"/>
      <w:sz w:val="22"/>
    </w:rPr>
  </w:style>
  <w:style w:type="character" w:customStyle="1" w:styleId="a7">
    <w:name w:val="Верхний колонтитул Знак"/>
    <w:basedOn w:val="1"/>
    <w:link w:val="a6"/>
    <w:rsid w:val="00BF5F99"/>
    <w:rPr>
      <w:rFonts w:ascii="Calibri Light" w:hAnsi="Calibri Light"/>
      <w:sz w:val="22"/>
    </w:rPr>
  </w:style>
  <w:style w:type="paragraph" w:styleId="61">
    <w:name w:val="toc 6"/>
    <w:next w:val="a"/>
    <w:link w:val="62"/>
    <w:uiPriority w:val="39"/>
    <w:rsid w:val="00BF5F99"/>
    <w:pPr>
      <w:ind w:left="1000"/>
    </w:pPr>
  </w:style>
  <w:style w:type="character" w:customStyle="1" w:styleId="62">
    <w:name w:val="Оглавление 6 Знак"/>
    <w:link w:val="61"/>
    <w:rsid w:val="00BF5F99"/>
  </w:style>
  <w:style w:type="paragraph" w:styleId="71">
    <w:name w:val="toc 7"/>
    <w:next w:val="a"/>
    <w:link w:val="72"/>
    <w:uiPriority w:val="39"/>
    <w:rsid w:val="00BF5F99"/>
    <w:pPr>
      <w:ind w:left="1200"/>
    </w:pPr>
  </w:style>
  <w:style w:type="character" w:customStyle="1" w:styleId="72">
    <w:name w:val="Оглавление 7 Знак"/>
    <w:link w:val="71"/>
    <w:rsid w:val="00BF5F99"/>
  </w:style>
  <w:style w:type="paragraph" w:styleId="a8">
    <w:name w:val="List Paragraph"/>
    <w:basedOn w:val="a"/>
    <w:link w:val="a9"/>
    <w:rsid w:val="00BF5F99"/>
    <w:pPr>
      <w:widowControl/>
      <w:spacing w:after="200" w:line="252" w:lineRule="auto"/>
      <w:ind w:left="720"/>
      <w:contextualSpacing/>
    </w:pPr>
    <w:rPr>
      <w:rFonts w:ascii="Calibri Light" w:hAnsi="Calibri Light"/>
      <w:sz w:val="22"/>
    </w:rPr>
  </w:style>
  <w:style w:type="character" w:customStyle="1" w:styleId="a9">
    <w:name w:val="Абзац списка Знак"/>
    <w:basedOn w:val="1"/>
    <w:link w:val="a8"/>
    <w:rsid w:val="00BF5F99"/>
    <w:rPr>
      <w:rFonts w:ascii="Calibri Light" w:hAnsi="Calibri Light"/>
      <w:sz w:val="22"/>
    </w:rPr>
  </w:style>
  <w:style w:type="paragraph" w:customStyle="1" w:styleId="13">
    <w:name w:val="Номер страницы1"/>
    <w:basedOn w:val="14"/>
    <w:link w:val="aa"/>
    <w:rsid w:val="00BF5F99"/>
  </w:style>
  <w:style w:type="character" w:styleId="aa">
    <w:name w:val="page number"/>
    <w:basedOn w:val="a0"/>
    <w:link w:val="13"/>
    <w:rsid w:val="00BF5F99"/>
  </w:style>
  <w:style w:type="paragraph" w:customStyle="1" w:styleId="msonormalbullet2gif">
    <w:name w:val="msonormalbullet2.gif"/>
    <w:basedOn w:val="a"/>
    <w:link w:val="msonormalbullet2gif0"/>
    <w:rsid w:val="00BF5F99"/>
    <w:pPr>
      <w:widowControl/>
      <w:spacing w:beforeAutospacing="1" w:afterAutospacing="1"/>
    </w:pPr>
    <w:rPr>
      <w:sz w:val="24"/>
    </w:rPr>
  </w:style>
  <w:style w:type="character" w:customStyle="1" w:styleId="msonormalbullet2gif0">
    <w:name w:val="msonormalbullet2.gif"/>
    <w:basedOn w:val="1"/>
    <w:link w:val="msonormalbullet2gif"/>
    <w:rsid w:val="00BF5F99"/>
    <w:rPr>
      <w:sz w:val="24"/>
    </w:rPr>
  </w:style>
  <w:style w:type="character" w:customStyle="1" w:styleId="30">
    <w:name w:val="Заголовок 3 Знак"/>
    <w:basedOn w:val="1"/>
    <w:link w:val="3"/>
    <w:rsid w:val="00BF5F99"/>
    <w:rPr>
      <w:rFonts w:ascii="Calibri Light" w:hAnsi="Calibri Light"/>
      <w:caps/>
      <w:color w:val="823B0B"/>
      <w:sz w:val="24"/>
    </w:rPr>
  </w:style>
  <w:style w:type="paragraph" w:customStyle="1" w:styleId="15">
    <w:name w:val="Сильная ссылка1"/>
    <w:link w:val="ab"/>
    <w:rsid w:val="00BF5F99"/>
    <w:rPr>
      <w:rFonts w:ascii="Calibri" w:hAnsi="Calibri"/>
      <w:b/>
      <w:i/>
      <w:color w:val="823B0B"/>
    </w:rPr>
  </w:style>
  <w:style w:type="character" w:styleId="ab">
    <w:name w:val="Intense Reference"/>
    <w:link w:val="15"/>
    <w:rsid w:val="00BF5F99"/>
    <w:rPr>
      <w:rFonts w:ascii="Calibri" w:hAnsi="Calibri"/>
      <w:b/>
      <w:i/>
      <w:color w:val="823B0B"/>
    </w:rPr>
  </w:style>
  <w:style w:type="paragraph" w:customStyle="1" w:styleId="Iauiue">
    <w:name w:val="Iau?iue"/>
    <w:link w:val="Iauiue0"/>
    <w:rsid w:val="00BF5F99"/>
    <w:pPr>
      <w:widowControl w:val="0"/>
    </w:pPr>
    <w:rPr>
      <w:sz w:val="24"/>
    </w:rPr>
  </w:style>
  <w:style w:type="character" w:customStyle="1" w:styleId="Iauiue0">
    <w:name w:val="Iau?iue"/>
    <w:link w:val="Iauiue"/>
    <w:rsid w:val="00BF5F99"/>
    <w:rPr>
      <w:sz w:val="24"/>
    </w:rPr>
  </w:style>
  <w:style w:type="paragraph" w:customStyle="1" w:styleId="17PRIL-raspr">
    <w:name w:val="17PRIL-raspr"/>
    <w:basedOn w:val="17PRIL-txt"/>
    <w:link w:val="17PRIL-raspr0"/>
    <w:rsid w:val="00BF5F99"/>
    <w:pPr>
      <w:spacing w:line="288" w:lineRule="auto"/>
      <w:ind w:firstLine="0"/>
    </w:pPr>
    <w:rPr>
      <w:sz w:val="12"/>
    </w:rPr>
  </w:style>
  <w:style w:type="character" w:customStyle="1" w:styleId="17PRIL-raspr0">
    <w:name w:val="17PRIL-raspr"/>
    <w:basedOn w:val="17PRIL-txt0"/>
    <w:link w:val="17PRIL-raspr"/>
    <w:rsid w:val="00BF5F99"/>
    <w:rPr>
      <w:rFonts w:ascii="TextBookC" w:hAnsi="TextBookC"/>
      <w:color w:val="000000"/>
      <w:sz w:val="12"/>
    </w:rPr>
  </w:style>
  <w:style w:type="character" w:customStyle="1" w:styleId="90">
    <w:name w:val="Заголовок 9 Знак"/>
    <w:basedOn w:val="1"/>
    <w:link w:val="9"/>
    <w:rsid w:val="00BF5F99"/>
    <w:rPr>
      <w:rFonts w:ascii="Calibri Light" w:hAnsi="Calibri Light"/>
      <w:i/>
      <w:caps/>
      <w:spacing w:val="10"/>
    </w:rPr>
  </w:style>
  <w:style w:type="paragraph" w:customStyle="1" w:styleId="ConsNonformat">
    <w:name w:val="ConsNonformat"/>
    <w:link w:val="ConsNonformat0"/>
    <w:rsid w:val="00BF5F99"/>
    <w:pPr>
      <w:widowControl w:val="0"/>
    </w:pPr>
    <w:rPr>
      <w:rFonts w:ascii="Consultant" w:hAnsi="Consultant"/>
    </w:rPr>
  </w:style>
  <w:style w:type="character" w:customStyle="1" w:styleId="ConsNonformat0">
    <w:name w:val="ConsNonformat"/>
    <w:link w:val="ConsNonformat"/>
    <w:rsid w:val="00BF5F99"/>
    <w:rPr>
      <w:rFonts w:ascii="Consultant" w:hAnsi="Consultant"/>
    </w:rPr>
  </w:style>
  <w:style w:type="paragraph" w:customStyle="1" w:styleId="16">
    <w:name w:val="Слабая ссылка1"/>
    <w:link w:val="ac"/>
    <w:rsid w:val="00BF5F99"/>
    <w:rPr>
      <w:rFonts w:ascii="Calibri" w:hAnsi="Calibri"/>
      <w:i/>
      <w:color w:val="823B0B"/>
    </w:rPr>
  </w:style>
  <w:style w:type="character" w:styleId="ac">
    <w:name w:val="Subtle Reference"/>
    <w:link w:val="16"/>
    <w:rsid w:val="00BF5F99"/>
    <w:rPr>
      <w:rFonts w:ascii="Calibri" w:hAnsi="Calibri"/>
      <w:i/>
      <w:color w:val="823B0B"/>
    </w:rPr>
  </w:style>
  <w:style w:type="paragraph" w:customStyle="1" w:styleId="17">
    <w:name w:val="Слабое выделение1"/>
    <w:link w:val="ad"/>
    <w:rsid w:val="00BF5F99"/>
    <w:rPr>
      <w:i/>
    </w:rPr>
  </w:style>
  <w:style w:type="character" w:styleId="ad">
    <w:name w:val="Subtle Emphasis"/>
    <w:link w:val="17"/>
    <w:rsid w:val="00BF5F99"/>
    <w:rPr>
      <w:i/>
    </w:rPr>
  </w:style>
  <w:style w:type="paragraph" w:customStyle="1" w:styleId="17TABL-txt">
    <w:name w:val="17TABL-txt"/>
    <w:basedOn w:val="17PRIL-txt"/>
    <w:link w:val="17TABL-txt0"/>
    <w:rsid w:val="00BF5F99"/>
    <w:pPr>
      <w:spacing w:line="240" w:lineRule="atLeast"/>
      <w:ind w:left="0" w:right="0" w:firstLine="0"/>
      <w:jc w:val="left"/>
    </w:pPr>
    <w:rPr>
      <w:sz w:val="18"/>
    </w:rPr>
  </w:style>
  <w:style w:type="character" w:customStyle="1" w:styleId="17TABL-txt0">
    <w:name w:val="17TABL-txt"/>
    <w:basedOn w:val="17PRIL-txt0"/>
    <w:link w:val="17TABL-txt"/>
    <w:rsid w:val="00BF5F99"/>
    <w:rPr>
      <w:rFonts w:ascii="TextBookC" w:hAnsi="TextBookC"/>
      <w:color w:val="000000"/>
      <w:sz w:val="18"/>
    </w:rPr>
  </w:style>
  <w:style w:type="paragraph" w:customStyle="1" w:styleId="17PRIL-bull-1">
    <w:name w:val="17PRIL-bull-1"/>
    <w:basedOn w:val="17PRIL-txt"/>
    <w:link w:val="17PRIL-bull-10"/>
    <w:rsid w:val="00BF5F99"/>
    <w:pPr>
      <w:tabs>
        <w:tab w:val="clear" w:pos="4791"/>
        <w:tab w:val="left" w:pos="283"/>
      </w:tabs>
      <w:ind w:left="850" w:hanging="227"/>
    </w:pPr>
  </w:style>
  <w:style w:type="character" w:customStyle="1" w:styleId="17PRIL-bull-10">
    <w:name w:val="17PRIL-bull-1"/>
    <w:basedOn w:val="17PRIL-txt0"/>
    <w:link w:val="17PRIL-bull-1"/>
    <w:rsid w:val="00BF5F99"/>
    <w:rPr>
      <w:rFonts w:ascii="TextBookC" w:hAnsi="TextBookC"/>
      <w:color w:val="000000"/>
      <w:sz w:val="20"/>
    </w:rPr>
  </w:style>
  <w:style w:type="paragraph" w:styleId="31">
    <w:name w:val="toc 3"/>
    <w:next w:val="a"/>
    <w:link w:val="32"/>
    <w:uiPriority w:val="39"/>
    <w:rsid w:val="00BF5F99"/>
    <w:pPr>
      <w:ind w:left="400"/>
    </w:pPr>
  </w:style>
  <w:style w:type="character" w:customStyle="1" w:styleId="32">
    <w:name w:val="Оглавление 3 Знак"/>
    <w:link w:val="31"/>
    <w:rsid w:val="00BF5F99"/>
  </w:style>
  <w:style w:type="paragraph" w:customStyle="1" w:styleId="propis">
    <w:name w:val="propis"/>
    <w:link w:val="propis0"/>
    <w:rsid w:val="00BF5F99"/>
    <w:rPr>
      <w:rFonts w:ascii="CenturySchlbkCyr" w:hAnsi="CenturySchlbkCyr"/>
      <w:i/>
      <w:sz w:val="24"/>
    </w:rPr>
  </w:style>
  <w:style w:type="character" w:customStyle="1" w:styleId="propis0">
    <w:name w:val="propis"/>
    <w:link w:val="propis"/>
    <w:rsid w:val="00BF5F99"/>
    <w:rPr>
      <w:rFonts w:ascii="CenturySchlbkCyr" w:hAnsi="CenturySchlbkCyr"/>
      <w:i/>
      <w:sz w:val="24"/>
      <w:u w:val="none"/>
    </w:rPr>
  </w:style>
  <w:style w:type="paragraph" w:customStyle="1" w:styleId="14">
    <w:name w:val="Основной шрифт абзаца1"/>
    <w:rsid w:val="00BF5F99"/>
  </w:style>
  <w:style w:type="paragraph" w:styleId="ae">
    <w:name w:val="caption"/>
    <w:basedOn w:val="a"/>
    <w:next w:val="a"/>
    <w:link w:val="af"/>
    <w:rsid w:val="00BF5F99"/>
    <w:pPr>
      <w:widowControl/>
      <w:spacing w:after="200" w:line="252" w:lineRule="auto"/>
    </w:pPr>
    <w:rPr>
      <w:rFonts w:ascii="Calibri Light" w:hAnsi="Calibri Light"/>
      <w:caps/>
      <w:spacing w:val="10"/>
      <w:sz w:val="18"/>
    </w:rPr>
  </w:style>
  <w:style w:type="character" w:customStyle="1" w:styleId="af">
    <w:name w:val="Название объекта Знак"/>
    <w:basedOn w:val="1"/>
    <w:link w:val="ae"/>
    <w:rsid w:val="00BF5F99"/>
    <w:rPr>
      <w:rFonts w:ascii="Calibri Light" w:hAnsi="Calibri Light"/>
      <w:caps/>
      <w:spacing w:val="10"/>
      <w:sz w:val="18"/>
    </w:rPr>
  </w:style>
  <w:style w:type="paragraph" w:styleId="af0">
    <w:name w:val="Balloon Text"/>
    <w:basedOn w:val="a"/>
    <w:link w:val="af1"/>
    <w:rsid w:val="00BF5F99"/>
    <w:pPr>
      <w:widowControl/>
    </w:pPr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BF5F99"/>
    <w:rPr>
      <w:rFonts w:ascii="Tahoma" w:hAnsi="Tahoma"/>
      <w:sz w:val="16"/>
    </w:rPr>
  </w:style>
  <w:style w:type="paragraph" w:styleId="af2">
    <w:name w:val="Plain Text"/>
    <w:basedOn w:val="a"/>
    <w:link w:val="af3"/>
    <w:rsid w:val="00BF5F99"/>
    <w:pPr>
      <w:widowControl/>
    </w:pPr>
    <w:rPr>
      <w:rFonts w:ascii="Courier New" w:hAnsi="Courier New"/>
    </w:rPr>
  </w:style>
  <w:style w:type="character" w:customStyle="1" w:styleId="af3">
    <w:name w:val="Текст Знак"/>
    <w:basedOn w:val="1"/>
    <w:link w:val="af2"/>
    <w:rsid w:val="00BF5F99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BF5F99"/>
    <w:rPr>
      <w:rFonts w:ascii="Calibri Light" w:hAnsi="Calibri Light"/>
      <w:caps/>
      <w:color w:val="823B0B"/>
      <w:spacing w:val="10"/>
      <w:sz w:val="22"/>
    </w:rPr>
  </w:style>
  <w:style w:type="paragraph" w:customStyle="1" w:styleId="17PRIL-1st">
    <w:name w:val="17PRIL-1st"/>
    <w:basedOn w:val="17PRIL-txt"/>
    <w:link w:val="17PRIL-1st0"/>
    <w:rsid w:val="00BF5F99"/>
    <w:pPr>
      <w:ind w:firstLine="0"/>
    </w:pPr>
  </w:style>
  <w:style w:type="character" w:customStyle="1" w:styleId="17PRIL-1st0">
    <w:name w:val="17PRIL-1st"/>
    <w:basedOn w:val="17PRIL-txt0"/>
    <w:link w:val="17PRIL-1st"/>
    <w:rsid w:val="00BF5F99"/>
    <w:rPr>
      <w:rFonts w:ascii="TextBookC" w:hAnsi="TextBookC"/>
      <w:color w:val="000000"/>
      <w:sz w:val="20"/>
    </w:rPr>
  </w:style>
  <w:style w:type="character" w:customStyle="1" w:styleId="11">
    <w:name w:val="Заголовок 1 Знак"/>
    <w:basedOn w:val="1"/>
    <w:link w:val="10"/>
    <w:rsid w:val="00BF5F99"/>
    <w:rPr>
      <w:rFonts w:ascii="Calibri Light" w:hAnsi="Calibri Light"/>
      <w:caps/>
      <w:color w:val="833C0B"/>
      <w:spacing w:val="20"/>
      <w:sz w:val="28"/>
    </w:rPr>
  </w:style>
  <w:style w:type="paragraph" w:customStyle="1" w:styleId="18">
    <w:name w:val="Гиперссылка1"/>
    <w:link w:val="af4"/>
    <w:rsid w:val="00BF5F99"/>
    <w:rPr>
      <w:color w:val="0563C1"/>
      <w:u w:val="single"/>
    </w:rPr>
  </w:style>
  <w:style w:type="character" w:styleId="af4">
    <w:name w:val="Hyperlink"/>
    <w:link w:val="18"/>
    <w:rsid w:val="00BF5F99"/>
    <w:rPr>
      <w:color w:val="0563C1"/>
      <w:u w:val="single"/>
    </w:rPr>
  </w:style>
  <w:style w:type="paragraph" w:customStyle="1" w:styleId="Footnote">
    <w:name w:val="Footnote"/>
    <w:link w:val="Footnote0"/>
    <w:rsid w:val="00BF5F9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F5F99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BF5F99"/>
    <w:rPr>
      <w:rFonts w:ascii="Calibri Light" w:hAnsi="Calibri Light"/>
      <w:caps/>
      <w:spacing w:val="10"/>
    </w:rPr>
  </w:style>
  <w:style w:type="paragraph" w:styleId="af5">
    <w:name w:val="TOC Heading"/>
    <w:basedOn w:val="10"/>
    <w:next w:val="a"/>
    <w:link w:val="af6"/>
    <w:rsid w:val="00BF5F99"/>
    <w:pPr>
      <w:outlineLvl w:val="8"/>
    </w:pPr>
  </w:style>
  <w:style w:type="character" w:customStyle="1" w:styleId="af6">
    <w:name w:val="Заголовок оглавления Знак"/>
    <w:basedOn w:val="11"/>
    <w:link w:val="af5"/>
    <w:rsid w:val="00BF5F99"/>
    <w:rPr>
      <w:rFonts w:ascii="Calibri Light" w:hAnsi="Calibri Light"/>
      <w:caps/>
      <w:color w:val="833C0B"/>
      <w:spacing w:val="20"/>
      <w:sz w:val="28"/>
    </w:rPr>
  </w:style>
  <w:style w:type="paragraph" w:styleId="19">
    <w:name w:val="toc 1"/>
    <w:next w:val="a"/>
    <w:link w:val="1a"/>
    <w:uiPriority w:val="39"/>
    <w:rsid w:val="00BF5F99"/>
    <w:rPr>
      <w:rFonts w:ascii="XO Thames" w:hAnsi="XO Thames"/>
      <w:b/>
    </w:rPr>
  </w:style>
  <w:style w:type="character" w:customStyle="1" w:styleId="1a">
    <w:name w:val="Оглавление 1 Знак"/>
    <w:link w:val="19"/>
    <w:rsid w:val="00BF5F99"/>
    <w:rPr>
      <w:rFonts w:ascii="XO Thames" w:hAnsi="XO Thames"/>
      <w:b/>
    </w:rPr>
  </w:style>
  <w:style w:type="paragraph" w:customStyle="1" w:styleId="17PRIL-header-1">
    <w:name w:val="17PRIL-header-1"/>
    <w:basedOn w:val="a4"/>
    <w:link w:val="17PRIL-header-10"/>
    <w:rsid w:val="00BF5F99"/>
    <w:pPr>
      <w:spacing w:before="510" w:after="454" w:line="280" w:lineRule="atLeast"/>
      <w:ind w:left="567" w:right="567"/>
      <w:jc w:val="center"/>
    </w:pPr>
    <w:rPr>
      <w:rFonts w:ascii="TextBookC" w:hAnsi="TextBookC"/>
      <w:spacing w:val="-3"/>
      <w:sz w:val="26"/>
    </w:rPr>
  </w:style>
  <w:style w:type="character" w:customStyle="1" w:styleId="17PRIL-header-10">
    <w:name w:val="17PRIL-header-1"/>
    <w:basedOn w:val="a5"/>
    <w:link w:val="17PRIL-header-1"/>
    <w:rsid w:val="00BF5F99"/>
    <w:rPr>
      <w:rFonts w:ascii="TextBookC" w:hAnsi="TextBookC"/>
      <w:color w:val="000000"/>
      <w:spacing w:val="-3"/>
      <w:sz w:val="26"/>
    </w:rPr>
  </w:style>
  <w:style w:type="paragraph" w:customStyle="1" w:styleId="HeaderandFooter">
    <w:name w:val="Header and Footer"/>
    <w:link w:val="HeaderandFooter0"/>
    <w:rsid w:val="00BF5F9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F5F99"/>
    <w:rPr>
      <w:rFonts w:ascii="XO Thames" w:hAnsi="XO Thames"/>
      <w:sz w:val="20"/>
    </w:rPr>
  </w:style>
  <w:style w:type="paragraph" w:customStyle="1" w:styleId="style2">
    <w:name w:val="style2"/>
    <w:basedOn w:val="a"/>
    <w:link w:val="style20"/>
    <w:rsid w:val="00BF5F99"/>
    <w:pPr>
      <w:widowControl/>
      <w:spacing w:beforeAutospacing="1" w:afterAutospacing="1"/>
    </w:pPr>
    <w:rPr>
      <w:rFonts w:ascii="Verdana" w:hAnsi="Verdana"/>
      <w:color w:val="FF0000"/>
      <w:sz w:val="18"/>
    </w:rPr>
  </w:style>
  <w:style w:type="character" w:customStyle="1" w:styleId="style20">
    <w:name w:val="style2"/>
    <w:basedOn w:val="1"/>
    <w:link w:val="style2"/>
    <w:rsid w:val="00BF5F99"/>
    <w:rPr>
      <w:rFonts w:ascii="Verdana" w:hAnsi="Verdana"/>
      <w:color w:val="FF0000"/>
      <w:sz w:val="18"/>
    </w:rPr>
  </w:style>
  <w:style w:type="paragraph" w:customStyle="1" w:styleId="1b">
    <w:name w:val="Строгий1"/>
    <w:link w:val="af7"/>
    <w:rsid w:val="00BF5F99"/>
    <w:rPr>
      <w:b/>
      <w:color w:val="C45911"/>
      <w:spacing w:val="5"/>
    </w:rPr>
  </w:style>
  <w:style w:type="character" w:styleId="af7">
    <w:name w:val="Strong"/>
    <w:link w:val="1b"/>
    <w:rsid w:val="00BF5F99"/>
    <w:rPr>
      <w:b/>
      <w:color w:val="C45911"/>
      <w:spacing w:val="5"/>
    </w:rPr>
  </w:style>
  <w:style w:type="paragraph" w:customStyle="1" w:styleId="a4">
    <w:name w:val="[Без стиля]"/>
    <w:link w:val="a5"/>
    <w:rsid w:val="00BF5F99"/>
    <w:pPr>
      <w:spacing w:line="288" w:lineRule="auto"/>
    </w:pPr>
    <w:rPr>
      <w:sz w:val="24"/>
    </w:rPr>
  </w:style>
  <w:style w:type="character" w:customStyle="1" w:styleId="a5">
    <w:name w:val="[Без стиля]"/>
    <w:link w:val="a4"/>
    <w:rsid w:val="00BF5F99"/>
    <w:rPr>
      <w:color w:val="000000"/>
      <w:sz w:val="24"/>
    </w:rPr>
  </w:style>
  <w:style w:type="paragraph" w:styleId="91">
    <w:name w:val="toc 9"/>
    <w:next w:val="a"/>
    <w:link w:val="92"/>
    <w:uiPriority w:val="39"/>
    <w:rsid w:val="00BF5F99"/>
    <w:pPr>
      <w:ind w:left="1600"/>
    </w:pPr>
  </w:style>
  <w:style w:type="character" w:customStyle="1" w:styleId="92">
    <w:name w:val="Оглавление 9 Знак"/>
    <w:link w:val="91"/>
    <w:rsid w:val="00BF5F99"/>
  </w:style>
  <w:style w:type="paragraph" w:customStyle="1" w:styleId="17PRIL-lst-form">
    <w:name w:val="17PRIL-lst-form"/>
    <w:basedOn w:val="a4"/>
    <w:link w:val="17PRIL-lst-form0"/>
    <w:rsid w:val="00BF5F99"/>
    <w:pPr>
      <w:tabs>
        <w:tab w:val="left" w:pos="283"/>
      </w:tabs>
      <w:jc w:val="right"/>
    </w:pPr>
    <w:rPr>
      <w:rFonts w:ascii="CenturySchlbkCyr" w:hAnsi="CenturySchlbkCyr"/>
      <w:i/>
      <w:sz w:val="14"/>
    </w:rPr>
  </w:style>
  <w:style w:type="character" w:customStyle="1" w:styleId="17PRIL-lst-form0">
    <w:name w:val="17PRIL-lst-form"/>
    <w:basedOn w:val="a5"/>
    <w:link w:val="17PRIL-lst-form"/>
    <w:rsid w:val="00BF5F99"/>
    <w:rPr>
      <w:rFonts w:ascii="CenturySchlbkCyr" w:hAnsi="CenturySchlbkCyr"/>
      <w:i/>
      <w:color w:val="000000"/>
      <w:sz w:val="14"/>
    </w:rPr>
  </w:style>
  <w:style w:type="paragraph" w:customStyle="1" w:styleId="1c">
    <w:name w:val="Название книги1"/>
    <w:link w:val="af8"/>
    <w:rsid w:val="00BF5F99"/>
    <w:rPr>
      <w:caps/>
      <w:color w:val="823B0B"/>
      <w:spacing w:val="5"/>
      <w:u w:color="823B0B"/>
    </w:rPr>
  </w:style>
  <w:style w:type="character" w:styleId="af8">
    <w:name w:val="Book Title"/>
    <w:link w:val="1c"/>
    <w:rsid w:val="00BF5F99"/>
    <w:rPr>
      <w:caps/>
      <w:color w:val="823B0B"/>
      <w:spacing w:val="5"/>
      <w:u w:color="823B0B"/>
    </w:rPr>
  </w:style>
  <w:style w:type="paragraph" w:styleId="af9">
    <w:name w:val="footer"/>
    <w:basedOn w:val="a"/>
    <w:link w:val="afa"/>
    <w:rsid w:val="00BF5F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BF5F99"/>
  </w:style>
  <w:style w:type="paragraph" w:styleId="81">
    <w:name w:val="toc 8"/>
    <w:next w:val="a"/>
    <w:link w:val="82"/>
    <w:uiPriority w:val="39"/>
    <w:rsid w:val="00BF5F99"/>
    <w:pPr>
      <w:ind w:left="1400"/>
    </w:pPr>
  </w:style>
  <w:style w:type="character" w:customStyle="1" w:styleId="82">
    <w:name w:val="Оглавление 8 Знак"/>
    <w:link w:val="81"/>
    <w:rsid w:val="00BF5F99"/>
  </w:style>
  <w:style w:type="paragraph" w:customStyle="1" w:styleId="msonormalbullet1gif">
    <w:name w:val="msonormalbullet1.gif"/>
    <w:basedOn w:val="a"/>
    <w:link w:val="msonormalbullet1gif0"/>
    <w:rsid w:val="00BF5F99"/>
    <w:pPr>
      <w:widowControl/>
      <w:spacing w:beforeAutospacing="1" w:afterAutospacing="1"/>
    </w:pPr>
    <w:rPr>
      <w:sz w:val="24"/>
    </w:rPr>
  </w:style>
  <w:style w:type="character" w:customStyle="1" w:styleId="msonormalbullet1gif0">
    <w:name w:val="msonormalbullet1.gif"/>
    <w:basedOn w:val="1"/>
    <w:link w:val="msonormalbullet1gif"/>
    <w:rsid w:val="00BF5F99"/>
    <w:rPr>
      <w:sz w:val="24"/>
    </w:rPr>
  </w:style>
  <w:style w:type="paragraph" w:customStyle="1" w:styleId="1d">
    <w:name w:val="Сильное выделение1"/>
    <w:link w:val="afb"/>
    <w:rsid w:val="00BF5F99"/>
    <w:rPr>
      <w:i/>
      <w:caps/>
      <w:spacing w:val="10"/>
    </w:rPr>
  </w:style>
  <w:style w:type="character" w:styleId="afb">
    <w:name w:val="Intense Emphasis"/>
    <w:link w:val="1d"/>
    <w:rsid w:val="00BF5F99"/>
    <w:rPr>
      <w:i/>
      <w:caps/>
      <w:spacing w:val="10"/>
      <w:sz w:val="20"/>
    </w:rPr>
  </w:style>
  <w:style w:type="paragraph" w:styleId="51">
    <w:name w:val="toc 5"/>
    <w:next w:val="a"/>
    <w:link w:val="52"/>
    <w:uiPriority w:val="39"/>
    <w:rsid w:val="00BF5F99"/>
    <w:pPr>
      <w:ind w:left="800"/>
    </w:pPr>
  </w:style>
  <w:style w:type="character" w:customStyle="1" w:styleId="52">
    <w:name w:val="Оглавление 5 Знак"/>
    <w:link w:val="51"/>
    <w:rsid w:val="00BF5F99"/>
  </w:style>
  <w:style w:type="paragraph" w:styleId="afc">
    <w:name w:val="No Spacing"/>
    <w:link w:val="afd"/>
    <w:qFormat/>
    <w:rsid w:val="00BF5F99"/>
    <w:rPr>
      <w:rFonts w:ascii="Calibri" w:hAnsi="Calibri"/>
      <w:sz w:val="22"/>
    </w:rPr>
  </w:style>
  <w:style w:type="character" w:customStyle="1" w:styleId="afd">
    <w:name w:val="Без интервала Знак"/>
    <w:link w:val="afc"/>
    <w:rsid w:val="00BF5F99"/>
    <w:rPr>
      <w:rFonts w:ascii="Calibri" w:hAnsi="Calibri"/>
      <w:sz w:val="22"/>
    </w:rPr>
  </w:style>
  <w:style w:type="paragraph" w:styleId="afe">
    <w:name w:val="Subtitle"/>
    <w:basedOn w:val="a"/>
    <w:next w:val="a"/>
    <w:link w:val="aff"/>
    <w:uiPriority w:val="11"/>
    <w:qFormat/>
    <w:rsid w:val="00BF5F99"/>
    <w:pPr>
      <w:widowControl/>
      <w:spacing w:after="560"/>
      <w:jc w:val="center"/>
    </w:pPr>
    <w:rPr>
      <w:rFonts w:ascii="Calibri Light" w:hAnsi="Calibri Light"/>
      <w:caps/>
      <w:spacing w:val="20"/>
      <w:sz w:val="18"/>
    </w:rPr>
  </w:style>
  <w:style w:type="character" w:customStyle="1" w:styleId="aff">
    <w:name w:val="Подзаголовок Знак"/>
    <w:basedOn w:val="1"/>
    <w:link w:val="afe"/>
    <w:rsid w:val="00BF5F99"/>
    <w:rPr>
      <w:rFonts w:ascii="Calibri Light" w:hAnsi="Calibri Light"/>
      <w:caps/>
      <w:spacing w:val="20"/>
      <w:sz w:val="18"/>
    </w:rPr>
  </w:style>
  <w:style w:type="paragraph" w:customStyle="1" w:styleId="toc10">
    <w:name w:val="toc 10"/>
    <w:next w:val="a"/>
    <w:link w:val="toc100"/>
    <w:uiPriority w:val="39"/>
    <w:rsid w:val="00BF5F99"/>
    <w:pPr>
      <w:ind w:left="1800"/>
    </w:pPr>
  </w:style>
  <w:style w:type="character" w:customStyle="1" w:styleId="toc100">
    <w:name w:val="toc 10"/>
    <w:link w:val="toc10"/>
    <w:rsid w:val="00BF5F99"/>
  </w:style>
  <w:style w:type="paragraph" w:styleId="aff0">
    <w:name w:val="Title"/>
    <w:basedOn w:val="a"/>
    <w:next w:val="a"/>
    <w:link w:val="aff1"/>
    <w:uiPriority w:val="10"/>
    <w:qFormat/>
    <w:rsid w:val="00BF5F99"/>
    <w:pPr>
      <w:widowControl/>
      <w:spacing w:before="500" w:after="300"/>
      <w:jc w:val="center"/>
    </w:pPr>
    <w:rPr>
      <w:rFonts w:ascii="Calibri Light" w:hAnsi="Calibri Light"/>
      <w:caps/>
      <w:color w:val="833C0B"/>
      <w:spacing w:val="50"/>
      <w:sz w:val="44"/>
    </w:rPr>
  </w:style>
  <w:style w:type="character" w:customStyle="1" w:styleId="aff1">
    <w:name w:val="Название Знак"/>
    <w:basedOn w:val="1"/>
    <w:link w:val="aff0"/>
    <w:rsid w:val="00BF5F99"/>
    <w:rPr>
      <w:rFonts w:ascii="Calibri Light" w:hAnsi="Calibri Light"/>
      <w:caps/>
      <w:color w:val="833C0B"/>
      <w:spacing w:val="50"/>
      <w:sz w:val="44"/>
    </w:rPr>
  </w:style>
  <w:style w:type="character" w:customStyle="1" w:styleId="40">
    <w:name w:val="Заголовок 4 Знак"/>
    <w:basedOn w:val="1"/>
    <w:link w:val="4"/>
    <w:rsid w:val="00BF5F99"/>
    <w:rPr>
      <w:rFonts w:ascii="Calibri Light" w:hAnsi="Calibri Light"/>
      <w:caps/>
      <w:color w:val="823B0B"/>
      <w:spacing w:val="10"/>
      <w:sz w:val="22"/>
    </w:rPr>
  </w:style>
  <w:style w:type="character" w:customStyle="1" w:styleId="20">
    <w:name w:val="Заголовок 2 Знак"/>
    <w:basedOn w:val="1"/>
    <w:link w:val="2"/>
    <w:rsid w:val="00BF5F99"/>
    <w:rPr>
      <w:b/>
      <w:color w:val="000000"/>
      <w:spacing w:val="-4"/>
      <w:sz w:val="32"/>
    </w:rPr>
  </w:style>
  <w:style w:type="paragraph" w:customStyle="1" w:styleId="Bold">
    <w:name w:val="Bold"/>
    <w:link w:val="Bold0"/>
    <w:rsid w:val="00BF5F99"/>
    <w:rPr>
      <w:b/>
    </w:rPr>
  </w:style>
  <w:style w:type="character" w:customStyle="1" w:styleId="Bold0">
    <w:name w:val="Bold"/>
    <w:link w:val="Bold"/>
    <w:rsid w:val="00BF5F99"/>
    <w:rPr>
      <w:b/>
    </w:rPr>
  </w:style>
  <w:style w:type="character" w:customStyle="1" w:styleId="60">
    <w:name w:val="Заголовок 6 Знак"/>
    <w:basedOn w:val="1"/>
    <w:link w:val="6"/>
    <w:rsid w:val="00BF5F99"/>
    <w:rPr>
      <w:rFonts w:ascii="Calibri Light" w:hAnsi="Calibri Light"/>
      <w:caps/>
      <w:color w:val="C45911"/>
      <w:spacing w:val="10"/>
      <w:sz w:val="22"/>
    </w:rPr>
  </w:style>
  <w:style w:type="paragraph" w:styleId="aff2">
    <w:name w:val="Intense Quote"/>
    <w:basedOn w:val="a"/>
    <w:next w:val="a"/>
    <w:link w:val="aff3"/>
    <w:rsid w:val="00BF5F99"/>
    <w:pPr>
      <w:widowControl/>
      <w:spacing w:before="160" w:after="200" w:line="300" w:lineRule="auto"/>
      <w:ind w:left="1440" w:right="1440"/>
    </w:pPr>
    <w:rPr>
      <w:rFonts w:ascii="Calibri Light" w:hAnsi="Calibri Light"/>
      <w:caps/>
      <w:color w:val="823B0B"/>
      <w:spacing w:val="5"/>
    </w:rPr>
  </w:style>
  <w:style w:type="character" w:customStyle="1" w:styleId="aff3">
    <w:name w:val="Выделенная цитата Знак"/>
    <w:basedOn w:val="1"/>
    <w:link w:val="aff2"/>
    <w:rsid w:val="00BF5F99"/>
    <w:rPr>
      <w:rFonts w:ascii="Calibri Light" w:hAnsi="Calibri Light"/>
      <w:caps/>
      <w:color w:val="823B0B"/>
      <w:spacing w:val="5"/>
    </w:rPr>
  </w:style>
  <w:style w:type="table" w:styleId="aff4">
    <w:name w:val="Table Grid"/>
    <w:basedOn w:val="a1"/>
    <w:rsid w:val="00BF5F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mferopolsiy-rayon21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5277</Words>
  <Characters>30080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Секретарь</cp:lastModifiedBy>
  <cp:revision>2</cp:revision>
  <cp:lastPrinted>2024-07-29T07:44:00Z</cp:lastPrinted>
  <dcterms:created xsi:type="dcterms:W3CDTF">2024-07-29T07:45:00Z</dcterms:created>
  <dcterms:modified xsi:type="dcterms:W3CDTF">2024-07-29T07:45:00Z</dcterms:modified>
</cp:coreProperties>
</file>