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35B0">
      <w:pPr>
        <w:spacing w:after="0" w:line="240" w:lineRule="auto"/>
        <w:jc w:val="both"/>
        <w:rPr>
          <w:rFonts w:ascii="Times New Roman" w:hAnsi="Times New Roman" w:cs="Times New Roman"/>
          <w:sz w:val="28"/>
          <w:szCs w:val="28"/>
        </w:rPr>
      </w:pPr>
      <w:bookmarkStart w:id="0" w:name="_Toc502151642"/>
      <w:bookmarkStart w:id="1" w:name="_Toc25677160"/>
    </w:p>
    <w:p w14:paraId="1BFE2652">
      <w:pPr>
        <w:spacing w:after="0" w:line="240" w:lineRule="auto"/>
        <w:ind w:left="5670"/>
        <w:jc w:val="right"/>
        <w:rPr>
          <w:rFonts w:ascii="Times New Roman" w:hAnsi="Times New Roman" w:eastAsia="Calibri" w:cs="Times New Roman"/>
          <w:sz w:val="24"/>
          <w:szCs w:val="24"/>
        </w:rPr>
      </w:pPr>
      <w:bookmarkStart w:id="5" w:name="_GoBack"/>
      <w:bookmarkEnd w:id="5"/>
      <w:bookmarkStart w:id="2" w:name="_Hlk158197689"/>
      <w:bookmarkStart w:id="3" w:name="_Hlk158197896"/>
      <w:r>
        <w:rPr>
          <w:rFonts w:ascii="Times New Roman" w:hAnsi="Times New Roman" w:eastAsia="Calibri" w:cs="Times New Roman"/>
          <w:sz w:val="24"/>
          <w:szCs w:val="24"/>
        </w:rPr>
        <w:t>Приложение 2</w:t>
      </w:r>
    </w:p>
    <w:bookmarkEnd w:id="2"/>
    <w:bookmarkEnd w:id="3"/>
    <w:p w14:paraId="258D06E4">
      <w:pPr>
        <w:spacing w:after="0" w:line="240" w:lineRule="auto"/>
        <w:ind w:left="5670"/>
        <w:rPr>
          <w:rFonts w:ascii="Times New Roman" w:hAnsi="Times New Roman" w:eastAsia="Calibri" w:cs="Times New Roman"/>
          <w:sz w:val="24"/>
          <w:szCs w:val="24"/>
        </w:rPr>
      </w:pPr>
    </w:p>
    <w:p w14:paraId="3DCBA0DD">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426"/>
        <w:contextualSpacing/>
        <w:jc w:val="center"/>
        <w:outlineLvl w:val="1"/>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Памятка о правилах проведения </w:t>
      </w:r>
      <w:r>
        <w:rPr>
          <w:rFonts w:ascii="Times New Roman" w:hAnsi="Times New Roman" w:cs="Times New Roman"/>
          <w:b/>
          <w:sz w:val="24"/>
          <w:szCs w:val="24"/>
        </w:rPr>
        <w:t>ГИА-9</w:t>
      </w:r>
      <w:r>
        <w:rPr>
          <w:sz w:val="24"/>
          <w:szCs w:val="24"/>
        </w:rPr>
        <w:t xml:space="preserve"> </w:t>
      </w:r>
      <w:r>
        <w:rPr>
          <w:rFonts w:ascii="Times New Roman" w:hAnsi="Times New Roman" w:eastAsia="Calibri" w:cs="Times New Roman"/>
          <w:b/>
          <w:sz w:val="24"/>
          <w:szCs w:val="24"/>
        </w:rPr>
        <w:t xml:space="preserve">в 2026 году </w:t>
      </w:r>
    </w:p>
    <w:p w14:paraId="26BEAFDD">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426"/>
        <w:contextualSpacing/>
        <w:jc w:val="center"/>
        <w:outlineLvl w:val="1"/>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(для ознакомления участников </w:t>
      </w:r>
      <w:r>
        <w:rPr>
          <w:rFonts w:ascii="Times New Roman" w:hAnsi="Times New Roman" w:eastAsia="Times New Roman" w:cs="Times New Roman"/>
          <w:b/>
          <w:color w:val="000000"/>
          <w:sz w:val="24"/>
          <w:szCs w:val="24"/>
          <w:lang w:eastAsia="ru-RU"/>
        </w:rPr>
        <w:t>экзамена и</w:t>
      </w:r>
      <w:r>
        <w:rPr>
          <w:rFonts w:ascii="Times New Roman" w:hAnsi="Times New Roman" w:eastAsia="Calibri" w:cs="Times New Roman"/>
          <w:b/>
          <w:sz w:val="24"/>
          <w:szCs w:val="24"/>
        </w:rPr>
        <w:t xml:space="preserve"> их родителей (законных представителей) под подпись</w:t>
      </w:r>
    </w:p>
    <w:bookmarkEnd w:id="0"/>
    <w:bookmarkEnd w:id="1"/>
    <w:p w14:paraId="64C7712D">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788" w:hanging="430"/>
        <w:contextualSpacing/>
        <w:jc w:val="center"/>
        <w:outlineLvl w:val="1"/>
        <w:rPr>
          <w:rFonts w:ascii="Times New Roman" w:hAnsi="Times New Roman" w:eastAsia="Calibri" w:cs="Times New Roman"/>
          <w:b/>
          <w:sz w:val="24"/>
          <w:szCs w:val="24"/>
        </w:rPr>
      </w:pPr>
      <w:bookmarkStart w:id="4" w:name="_Hlk189229609"/>
    </w:p>
    <w:p w14:paraId="072D9B31">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788" w:hanging="430"/>
        <w:contextualSpacing/>
        <w:jc w:val="center"/>
        <w:outlineLvl w:val="1"/>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Общая информация о порядке проведении ГИА</w:t>
      </w:r>
      <w:r>
        <w:rPr>
          <w:rFonts w:ascii="Times New Roman" w:hAnsi="Times New Roman" w:eastAsia="Times New Roman" w:cs="Times New Roman"/>
          <w:sz w:val="24"/>
          <w:szCs w:val="24"/>
          <w:lang w:eastAsia="ru-RU"/>
        </w:rPr>
        <w:t>:</w:t>
      </w:r>
    </w:p>
    <w:p w14:paraId="7BA7597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p>
    <w:p w14:paraId="5E1F9FE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ГИА по всем учебным предметам начинается в 10.00.</w:t>
      </w:r>
    </w:p>
    <w:p w14:paraId="7E45694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pPr>
        <w:widowControl w:val="0"/>
        <w:spacing w:after="0" w:line="240"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Обязанности участника экзамена в рамках участия в ГИА:</w:t>
      </w:r>
    </w:p>
    <w:p w14:paraId="75D5641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4C71629">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pPr>
        <w:spacing w:after="0" w:line="270" w:lineRule="auto"/>
        <w:ind w:right="15"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4ADE0C9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случаев, если в аудитории нет других участников.</w:t>
      </w:r>
    </w:p>
    <w:p w14:paraId="3AF6513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14:paraId="4193CAC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4396ADA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Участники экзамена занимают рабочие места в аудитории в соответствии со списками распределения. Изменение рабочего места запрещено.</w:t>
      </w:r>
    </w:p>
    <w:p w14:paraId="0691294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В день проведения экзамена в ППЭ </w:t>
      </w:r>
      <w:r>
        <w:rPr>
          <w:rFonts w:ascii="Times New Roman" w:hAnsi="Times New Roman" w:eastAsia="Times New Roman" w:cs="Times New Roman"/>
          <w:b/>
          <w:bCs/>
          <w:sz w:val="24"/>
          <w:szCs w:val="24"/>
          <w:lang w:eastAsia="ru-RU"/>
        </w:rPr>
        <w:t>участникам экзамена запрещается иметь при себе:</w:t>
      </w:r>
      <w:r>
        <w:rPr>
          <w:rFonts w:ascii="Times New Roman" w:hAnsi="Times New Roman" w:eastAsia="Times New Roman" w:cs="Times New Roman"/>
          <w:sz w:val="24"/>
          <w:szCs w:val="24"/>
          <w:lang w:eastAsia="ru-RU"/>
        </w:rPr>
        <w:t xml:space="preserve">  </w:t>
      </w:r>
    </w:p>
    <w:p w14:paraId="09EA40F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средства связи, электронно-вычислительную технику, </w:t>
      </w:r>
    </w:p>
    <w:p w14:paraId="7ACA52CF">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фото-, аудио- и видеоаппаратуру, </w:t>
      </w:r>
    </w:p>
    <w:p w14:paraId="3ED7D9A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04D0BA7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14:paraId="78218D6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7538C0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5F3D6132">
      <w:pPr>
        <w:widowControl w:val="0"/>
        <w:spacing w:after="0" w:line="240" w:lineRule="auto"/>
        <w:ind w:firstLine="709"/>
        <w:contextualSpacing/>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10. </w:t>
      </w:r>
      <w:r>
        <w:rPr>
          <w:rFonts w:ascii="Times New Roman" w:hAnsi="Times New Roman" w:eastAsia="Times New Roman" w:cs="Times New Roman"/>
          <w:color w:val="000000"/>
          <w:sz w:val="24"/>
          <w:szCs w:val="24"/>
          <w:lang w:eastAsia="ru-RU"/>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126EC17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14:paraId="04A8EF3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 Личные вещи участники экзамена оставляют в специально выделенном месте в здании (комплексе зданий), где расположен ППЭ, до входа в ППЭ (месте для хранения личных вещей участников экзамена). </w:t>
      </w:r>
    </w:p>
    <w:p w14:paraId="36E4E27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Рекомендуется взять с собой на экзамен только необходимые вещи: </w:t>
      </w:r>
    </w:p>
    <w:p w14:paraId="482E74DC">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гелевая или капиллярная ручка с чернилами черного цвета; </w:t>
      </w:r>
    </w:p>
    <w:p w14:paraId="3945E67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документ, удостоверяющий личность; </w:t>
      </w:r>
    </w:p>
    <w:p w14:paraId="49A7A5E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средства обучения и воспитания, разрешенные к использованию для выполнения заданий КИМ по соответствующим учебным предметам; </w:t>
      </w:r>
    </w:p>
    <w:p w14:paraId="3F941849">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лекарства (при необходимости); </w:t>
      </w:r>
    </w:p>
    <w:p w14:paraId="2F74770C">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14:paraId="2207C8A0">
      <w:pPr>
        <w:widowControl w:val="0"/>
        <w:spacing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 </w:t>
      </w:r>
    </w:p>
    <w:p w14:paraId="3E0023C1">
      <w:pPr>
        <w:widowControl w:val="0"/>
        <w:spacing w:after="0" w:line="240" w:lineRule="auto"/>
        <w:contextualSpacing/>
        <w:jc w:val="center"/>
        <w:rPr>
          <w:rFonts w:ascii="Times New Roman" w:hAnsi="Times New Roman" w:eastAsia="Times New Roman" w:cs="Times New Roman"/>
          <w:b/>
          <w:bCs/>
          <w:sz w:val="24"/>
          <w:szCs w:val="24"/>
          <w:lang w:eastAsia="ru-RU"/>
        </w:rPr>
      </w:pPr>
    </w:p>
    <w:p w14:paraId="05CA3310">
      <w:pPr>
        <w:widowControl w:val="0"/>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Права участника экзамена в рамках участия в ГИА</w:t>
      </w:r>
      <w:r>
        <w:rPr>
          <w:rFonts w:ascii="Times New Roman" w:hAnsi="Times New Roman" w:eastAsia="Times New Roman" w:cs="Times New Roman"/>
          <w:sz w:val="24"/>
          <w:szCs w:val="24"/>
          <w:lang w:eastAsia="ru-RU"/>
        </w:rPr>
        <w:t>:</w:t>
      </w:r>
    </w:p>
    <w:p w14:paraId="39159C5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w:t>
      </w:r>
      <w:r>
        <w:rPr>
          <w:rFonts w:ascii="Times New Roman" w:hAnsi="Times New Roman" w:eastAsia="Times New Roman" w:cs="Times New Roman"/>
          <w:i/>
          <w:iCs/>
          <w:sz w:val="24"/>
          <w:szCs w:val="24"/>
          <w:lang w:eastAsia="ru-RU"/>
        </w:rPr>
        <w:t>(в случае проведения ГИА по иностранным языкам (раздел «Говорение») черновики не выдаются).</w:t>
      </w:r>
    </w:p>
    <w:p w14:paraId="30101D09">
      <w:pPr>
        <w:widowControl w:val="0"/>
        <w:spacing w:after="0" w:line="240" w:lineRule="auto"/>
        <w:ind w:firstLine="709"/>
        <w:contextualSpacing/>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Внимание! Черновики и КИМ не проверяются и записи в них не учитываются при обработке и оценивании.</w:t>
      </w:r>
      <w:r>
        <w:t xml:space="preserve"> </w:t>
      </w:r>
    </w:p>
    <w:p w14:paraId="53C81CC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В случае нехватки места в бланке для записи ответов участник ГИА может обратиться к организатору для получения дополнительного бланка.  </w:t>
      </w:r>
    </w:p>
    <w:p w14:paraId="65DB6759">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2D18BDA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292FFD2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Участник экзамена имеет право подать апелляцию о нарушении Порядка и (или) о несогласии с выставленными баллами в апелляционную комиссию. </w:t>
      </w:r>
    </w:p>
    <w:p w14:paraId="3110242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5346C0B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Участники экзамена заблаговременно информируются о времени, месте и порядке рассмотрения апелляций. </w:t>
      </w:r>
    </w:p>
    <w:p w14:paraId="5C5CAF5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Обучающийся и (или) его родители (законные представители) при желании присутствуют при рассмотрении апелляции. </w:t>
      </w:r>
    </w:p>
    <w:p w14:paraId="6AC025B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Апелляцию о нарушении Порядка</w:t>
      </w:r>
      <w:r>
        <w:rPr>
          <w:rFonts w:ascii="Times New Roman" w:hAnsi="Times New Roman" w:eastAsia="Times New Roman" w:cs="Times New Roman"/>
          <w:sz w:val="24"/>
          <w:szCs w:val="24"/>
          <w:lang w:eastAsia="ru-RU"/>
        </w:rPr>
        <w:t xml:space="preserve"> участник экзамена подает в день проведения экзамена члену ГЭК, не покидая ППЭ. </w:t>
      </w:r>
    </w:p>
    <w:p w14:paraId="68733697">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270234A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1C89B07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отклонении апелляции; </w:t>
      </w:r>
    </w:p>
    <w:p w14:paraId="1AAA661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 удовлетворении апелляции. </w:t>
      </w:r>
    </w:p>
    <w:p w14:paraId="161BA3D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1893E2A8">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Апелляция о несогласии с выставленными баллами </w:t>
      </w:r>
      <w:r>
        <w:rPr>
          <w:rFonts w:ascii="Times New Roman" w:hAnsi="Times New Roman" w:eastAsia="Times New Roman" w:cs="Times New Roman"/>
          <w:sz w:val="24"/>
          <w:szCs w:val="24"/>
          <w:lang w:eastAsia="ru-RU"/>
        </w:rPr>
        <w:t xml:space="preserve">подается в течение двух рабочих дней, следующих за официальным днем объявления результатов ГИА по соответствующему учебному предмету.  </w:t>
      </w:r>
    </w:p>
    <w:p w14:paraId="7C6B05E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30CE0B3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6B921679">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w:t>
      </w:r>
    </w:p>
    <w:p w14:paraId="5E750EB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4BC1D4D9">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660F7148">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7979B8EF">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4DB8AA99">
      <w:pPr>
        <w:widowControl w:val="0"/>
        <w:spacing w:after="0" w:line="240" w:lineRule="auto"/>
        <w:ind w:firstLine="709"/>
        <w:contextualSpacing/>
        <w:jc w:val="both"/>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4"/>
          <w:szCs w:val="24"/>
          <w:lang w:eastAsia="ru-RU"/>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r>
        <w:rPr>
          <w:rFonts w:ascii="Times New Roman" w:hAnsi="Times New Roman" w:eastAsia="Times New Roman" w:cs="Times New Roman"/>
          <w:sz w:val="24"/>
          <w:szCs w:val="24"/>
          <w:highlight w:val="yellow"/>
          <w:lang w:eastAsia="ru-RU"/>
        </w:rPr>
        <w:t xml:space="preserve"> </w:t>
      </w:r>
    </w:p>
    <w:p w14:paraId="4075A08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08DD950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37A9C93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14:paraId="0799F16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w:t>
      </w:r>
    </w:p>
    <w:p w14:paraId="11B4F74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одно из решений: </w:t>
      </w:r>
    </w:p>
    <w:p w14:paraId="4DE287BC">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об отклонении апелляции; </w:t>
      </w:r>
    </w:p>
    <w:p w14:paraId="37CE671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об удовлетворении апелляции. </w:t>
      </w:r>
    </w:p>
    <w:p w14:paraId="0454B392">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4079AAF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16A00DF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154550F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1F40EEF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191BAF7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5627B4EF">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14:paraId="4C5517F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7784D16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3D61DCC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14:paraId="6E602E2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14:paraId="797C179F">
      <w:pPr>
        <w:widowControl w:val="0"/>
        <w:spacing w:after="0" w:line="240" w:lineRule="auto"/>
        <w:ind w:firstLine="709"/>
        <w:contextualSpacing/>
        <w:jc w:val="both"/>
        <w:rPr>
          <w:rFonts w:ascii="Times New Roman" w:hAnsi="Times New Roman" w:eastAsia="Times New Roman" w:cs="Times New Roman"/>
          <w:sz w:val="24"/>
          <w:szCs w:val="24"/>
          <w:lang w:eastAsia="ru-RU"/>
        </w:rPr>
      </w:pPr>
    </w:p>
    <w:p w14:paraId="28A33902">
      <w:pPr>
        <w:autoSpaceDE w:val="0"/>
        <w:autoSpaceDN w:val="0"/>
        <w:adjustRightInd w:val="0"/>
        <w:spacing w:after="0" w:line="240" w:lineRule="auto"/>
        <w:ind w:firstLine="709"/>
        <w:contextualSpacing/>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p>
    <w:p w14:paraId="18CEBA26">
      <w:pPr>
        <w:autoSpaceDE w:val="0"/>
        <w:autoSpaceDN w:val="0"/>
        <w:adjustRightInd w:val="0"/>
        <w:spacing w:after="0" w:line="240" w:lineRule="auto"/>
        <w:ind w:firstLine="709"/>
        <w:contextualSpacing/>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1. Федеральным законом от 29.12.2012 № 273-ФЗ «Об образовании в Российской Федерации». </w:t>
      </w:r>
    </w:p>
    <w:p w14:paraId="4DC81507">
      <w:pPr>
        <w:autoSpaceDE w:val="0"/>
        <w:autoSpaceDN w:val="0"/>
        <w:adjustRightInd w:val="0"/>
        <w:spacing w:after="0" w:line="240" w:lineRule="auto"/>
        <w:ind w:firstLine="709"/>
        <w:contextualSpacing/>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r>
        <w:rPr>
          <w:rFonts w:ascii="Times New Roman" w:hAnsi="Times New Roman" w:eastAsia="Times New Roman" w:cs="Times New Roman"/>
          <w:i/>
          <w:iCs/>
          <w:sz w:val="24"/>
          <w:szCs w:val="24"/>
          <w:lang w:eastAsia="ru-RU"/>
        </w:rPr>
        <w:cr/>
      </w:r>
    </w:p>
    <w:p w14:paraId="735012FF">
      <w:pPr>
        <w:autoSpaceDE w:val="0"/>
        <w:autoSpaceDN w:val="0"/>
        <w:adjustRightInd w:val="0"/>
        <w:spacing w:after="0" w:line="240" w:lineRule="auto"/>
        <w:contextualSpacing/>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 правилами проведения ГИА-9 ознакомлен (а):</w:t>
      </w:r>
    </w:p>
    <w:p w14:paraId="61F5B081">
      <w:pPr>
        <w:autoSpaceDE w:val="0"/>
        <w:autoSpaceDN w:val="0"/>
        <w:adjustRightInd w:val="0"/>
        <w:spacing w:after="0" w:line="240" w:lineRule="auto"/>
        <w:contextualSpacing/>
        <w:jc w:val="both"/>
        <w:rPr>
          <w:rFonts w:ascii="Times New Roman" w:hAnsi="Times New Roman" w:eastAsia="Times New Roman" w:cs="Times New Roman"/>
          <w:sz w:val="10"/>
          <w:szCs w:val="10"/>
          <w:lang w:eastAsia="ru-RU"/>
        </w:rPr>
      </w:pPr>
    </w:p>
    <w:p w14:paraId="2981260C">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Участник ГИА</w:t>
      </w:r>
    </w:p>
    <w:p w14:paraId="5A9D6463">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___________________(_____________________)</w:t>
      </w:r>
    </w:p>
    <w:p w14:paraId="6321157C">
      <w:pPr>
        <w:autoSpaceDE w:val="0"/>
        <w:autoSpaceDN w:val="0"/>
        <w:adjustRightInd w:val="0"/>
        <w:spacing w:after="0" w:line="240" w:lineRule="auto"/>
        <w:contextualSpacing/>
        <w:jc w:val="both"/>
        <w:rPr>
          <w:rFonts w:ascii="Times New Roman" w:hAnsi="Times New Roman" w:eastAsia="Times New Roman" w:cs="Times New Roman"/>
          <w:sz w:val="10"/>
          <w:szCs w:val="10"/>
          <w:lang w:eastAsia="ru-RU"/>
        </w:rPr>
      </w:pPr>
    </w:p>
    <w:p w14:paraId="074228FE">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«___»_______20__г.</w:t>
      </w:r>
    </w:p>
    <w:p w14:paraId="102B3DD1">
      <w:pPr>
        <w:autoSpaceDE w:val="0"/>
        <w:autoSpaceDN w:val="0"/>
        <w:adjustRightInd w:val="0"/>
        <w:spacing w:after="0" w:line="240" w:lineRule="auto"/>
        <w:contextualSpacing/>
        <w:jc w:val="both"/>
        <w:rPr>
          <w:rFonts w:ascii="Times New Roman" w:hAnsi="Times New Roman" w:eastAsia="Times New Roman" w:cs="Times New Roman"/>
          <w:sz w:val="10"/>
          <w:szCs w:val="10"/>
          <w:lang w:eastAsia="ru-RU"/>
        </w:rPr>
      </w:pPr>
    </w:p>
    <w:p w14:paraId="65EF2E79">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Родитель/законный представитель несовершеннолетнего участника ГИА</w:t>
      </w:r>
    </w:p>
    <w:p w14:paraId="040170A4">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w:t>
      </w:r>
    </w:p>
    <w:p w14:paraId="18525F7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«___»_______20__г.</w:t>
      </w:r>
      <w:bookmarkEnd w:id="4"/>
    </w:p>
    <w:sectPr>
      <w:pgSz w:w="11906" w:h="16838"/>
      <w:pgMar w:top="851" w:right="707" w:bottom="567"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13BCC"/>
    <w:multiLevelType w:val="multilevel"/>
    <w:tmpl w:val="78D13BCC"/>
    <w:lvl w:ilvl="0" w:tentative="0">
      <w:start w:val="1"/>
      <w:numFmt w:val="decimal"/>
      <w:pStyle w:val="12"/>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EA"/>
    <w:rsid w:val="00015155"/>
    <w:rsid w:val="00033126"/>
    <w:rsid w:val="00054EF2"/>
    <w:rsid w:val="000605A3"/>
    <w:rsid w:val="00074175"/>
    <w:rsid w:val="00090647"/>
    <w:rsid w:val="000E207F"/>
    <w:rsid w:val="00131F5C"/>
    <w:rsid w:val="00132993"/>
    <w:rsid w:val="00136B83"/>
    <w:rsid w:val="00141695"/>
    <w:rsid w:val="0014455F"/>
    <w:rsid w:val="0014750A"/>
    <w:rsid w:val="00153CA1"/>
    <w:rsid w:val="00160DEA"/>
    <w:rsid w:val="00161080"/>
    <w:rsid w:val="00162E8B"/>
    <w:rsid w:val="00167F35"/>
    <w:rsid w:val="001B79C0"/>
    <w:rsid w:val="00230C62"/>
    <w:rsid w:val="00266B49"/>
    <w:rsid w:val="00272F48"/>
    <w:rsid w:val="00276FF3"/>
    <w:rsid w:val="00283776"/>
    <w:rsid w:val="00295965"/>
    <w:rsid w:val="00297A41"/>
    <w:rsid w:val="002A0772"/>
    <w:rsid w:val="002E1A6B"/>
    <w:rsid w:val="0030242D"/>
    <w:rsid w:val="003657B7"/>
    <w:rsid w:val="00375BD1"/>
    <w:rsid w:val="00377839"/>
    <w:rsid w:val="00383DBF"/>
    <w:rsid w:val="00385FA2"/>
    <w:rsid w:val="00387835"/>
    <w:rsid w:val="003A66F8"/>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7737F"/>
    <w:rsid w:val="005A055B"/>
    <w:rsid w:val="005A4765"/>
    <w:rsid w:val="005D1C75"/>
    <w:rsid w:val="00605EF8"/>
    <w:rsid w:val="0067715F"/>
    <w:rsid w:val="006E0069"/>
    <w:rsid w:val="006E0C53"/>
    <w:rsid w:val="006E5223"/>
    <w:rsid w:val="006E75E3"/>
    <w:rsid w:val="00706EA8"/>
    <w:rsid w:val="00712FF7"/>
    <w:rsid w:val="007344B5"/>
    <w:rsid w:val="00776BC0"/>
    <w:rsid w:val="00780B06"/>
    <w:rsid w:val="0079510E"/>
    <w:rsid w:val="007A131C"/>
    <w:rsid w:val="007C20A1"/>
    <w:rsid w:val="007C2227"/>
    <w:rsid w:val="007E1A24"/>
    <w:rsid w:val="008244D1"/>
    <w:rsid w:val="008268DA"/>
    <w:rsid w:val="00864B3B"/>
    <w:rsid w:val="0087698B"/>
    <w:rsid w:val="00891846"/>
    <w:rsid w:val="00925D4E"/>
    <w:rsid w:val="00927651"/>
    <w:rsid w:val="00964ADB"/>
    <w:rsid w:val="009B2FE7"/>
    <w:rsid w:val="009B540F"/>
    <w:rsid w:val="009C0B5B"/>
    <w:rsid w:val="009C63AA"/>
    <w:rsid w:val="009D1F0F"/>
    <w:rsid w:val="009D2776"/>
    <w:rsid w:val="009D41BB"/>
    <w:rsid w:val="009F5EF6"/>
    <w:rsid w:val="00A07073"/>
    <w:rsid w:val="00A12508"/>
    <w:rsid w:val="00A470D4"/>
    <w:rsid w:val="00A8318A"/>
    <w:rsid w:val="00A85D9D"/>
    <w:rsid w:val="00A96882"/>
    <w:rsid w:val="00A97A73"/>
    <w:rsid w:val="00AB22BF"/>
    <w:rsid w:val="00B02FC5"/>
    <w:rsid w:val="00B36F63"/>
    <w:rsid w:val="00B529A0"/>
    <w:rsid w:val="00B55997"/>
    <w:rsid w:val="00B7673E"/>
    <w:rsid w:val="00B77167"/>
    <w:rsid w:val="00B80E71"/>
    <w:rsid w:val="00C00558"/>
    <w:rsid w:val="00C015EB"/>
    <w:rsid w:val="00C13831"/>
    <w:rsid w:val="00C32A98"/>
    <w:rsid w:val="00C37A30"/>
    <w:rsid w:val="00C40F9D"/>
    <w:rsid w:val="00C60F76"/>
    <w:rsid w:val="00C75FEF"/>
    <w:rsid w:val="00C83612"/>
    <w:rsid w:val="00C84758"/>
    <w:rsid w:val="00C97BB8"/>
    <w:rsid w:val="00CB5DE0"/>
    <w:rsid w:val="00CB74DC"/>
    <w:rsid w:val="00CD5363"/>
    <w:rsid w:val="00D0527C"/>
    <w:rsid w:val="00D3244A"/>
    <w:rsid w:val="00D4145B"/>
    <w:rsid w:val="00D56ACD"/>
    <w:rsid w:val="00D56B97"/>
    <w:rsid w:val="00DA2716"/>
    <w:rsid w:val="00DE1083"/>
    <w:rsid w:val="00DE6F12"/>
    <w:rsid w:val="00E84090"/>
    <w:rsid w:val="00EA7A91"/>
    <w:rsid w:val="00EB1AF2"/>
    <w:rsid w:val="00ED379F"/>
    <w:rsid w:val="00EE43C5"/>
    <w:rsid w:val="00EF4E85"/>
    <w:rsid w:val="00F06738"/>
    <w:rsid w:val="00F23038"/>
    <w:rsid w:val="00F240AD"/>
    <w:rsid w:val="00F3570F"/>
    <w:rsid w:val="00F41089"/>
    <w:rsid w:val="00F83998"/>
    <w:rsid w:val="00FA2447"/>
    <w:rsid w:val="00FA2531"/>
    <w:rsid w:val="00FC7289"/>
    <w:rsid w:val="00FE237A"/>
    <w:rsid w:val="00FF2DCD"/>
    <w:rsid w:val="00FF7C39"/>
    <w:rsid w:val="1FF103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0"/>
    <w:semiHidden/>
    <w:unhideWhenUsed/>
    <w:uiPriority w:val="99"/>
    <w:pPr>
      <w:spacing w:after="0" w:line="240" w:lineRule="auto"/>
    </w:pPr>
    <w:rPr>
      <w:rFonts w:ascii="Tahoma" w:hAnsi="Tahoma" w:cs="Tahoma"/>
      <w:sz w:val="16"/>
      <w:szCs w:val="16"/>
    </w:rPr>
  </w:style>
  <w:style w:type="paragraph" w:styleId="6">
    <w:name w:val="header"/>
    <w:basedOn w:val="1"/>
    <w:link w:val="14"/>
    <w:unhideWhenUsed/>
    <w:uiPriority w:val="99"/>
    <w:pPr>
      <w:tabs>
        <w:tab w:val="center" w:pos="4677"/>
        <w:tab w:val="right" w:pos="9355"/>
      </w:tabs>
      <w:spacing w:after="0" w:line="240" w:lineRule="auto"/>
    </w:pPr>
  </w:style>
  <w:style w:type="paragraph" w:styleId="7">
    <w:name w:val="footer"/>
    <w:basedOn w:val="1"/>
    <w:link w:val="15"/>
    <w:unhideWhenUsed/>
    <w:uiPriority w:val="99"/>
    <w:pPr>
      <w:tabs>
        <w:tab w:val="center" w:pos="4677"/>
        <w:tab w:val="right" w:pos="9355"/>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uiPriority w:val="99"/>
    <w:rPr>
      <w:rFonts w:ascii="Tahoma" w:hAnsi="Tahoma" w:cs="Tahoma"/>
      <w:sz w:val="16"/>
      <w:szCs w:val="16"/>
    </w:rPr>
  </w:style>
  <w:style w:type="paragraph" w:styleId="11">
    <w:name w:val="List Paragraph"/>
    <w:basedOn w:val="1"/>
    <w:qFormat/>
    <w:uiPriority w:val="34"/>
    <w:pPr>
      <w:spacing w:after="160" w:line="259" w:lineRule="auto"/>
      <w:ind w:left="720"/>
      <w:contextualSpacing/>
    </w:pPr>
  </w:style>
  <w:style w:type="paragraph" w:customStyle="1" w:styleId="12">
    <w:name w:val="МР заголовок1"/>
    <w:basedOn w:val="11"/>
    <w:next w:val="1"/>
    <w:link w:val="13"/>
    <w:qFormat/>
    <w:uiPriority w:val="0"/>
    <w:pPr>
      <w:keepNext/>
      <w:keepLines/>
      <w:pageBreakBefore/>
      <w:numPr>
        <w:ilvl w:val="0"/>
        <w:numId w:val="1"/>
      </w:numPr>
      <w:tabs>
        <w:tab w:val="left" w:pos="360"/>
      </w:tabs>
      <w:spacing w:after="120" w:line="240" w:lineRule="auto"/>
      <w:ind w:left="357" w:hanging="357"/>
      <w:outlineLvl w:val="0"/>
    </w:pPr>
    <w:rPr>
      <w:rFonts w:ascii="Times New Roman" w:hAnsi="Times New Roman" w:cs="Times New Roman"/>
      <w:b/>
      <w:sz w:val="32"/>
      <w:szCs w:val="28"/>
    </w:rPr>
  </w:style>
  <w:style w:type="character" w:customStyle="1" w:styleId="13">
    <w:name w:val="МР заголовок1 Знак"/>
    <w:basedOn w:val="2"/>
    <w:link w:val="12"/>
    <w:uiPriority w:val="0"/>
    <w:rPr>
      <w:rFonts w:ascii="Times New Roman" w:hAnsi="Times New Roman" w:cs="Times New Roman"/>
      <w:b/>
      <w:sz w:val="32"/>
      <w:szCs w:val="28"/>
    </w:rPr>
  </w:style>
  <w:style w:type="character" w:customStyle="1" w:styleId="14">
    <w:name w:val="Верхний колонтитул Знак"/>
    <w:basedOn w:val="2"/>
    <w:link w:val="6"/>
    <w:uiPriority w:val="99"/>
  </w:style>
  <w:style w:type="character" w:customStyle="1" w:styleId="15">
    <w:name w:val="Нижний колонтитул Знак"/>
    <w:basedOn w:val="2"/>
    <w:link w:val="7"/>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datastoreItem>
</file>

<file path=docProps/app.xml><?xml version="1.0" encoding="utf-8"?>
<Properties xmlns="http://schemas.openxmlformats.org/officeDocument/2006/extended-properties" xmlns:vt="http://schemas.openxmlformats.org/officeDocument/2006/docPropsVTypes">
  <Template>Normal</Template>
  <Pages>6</Pages>
  <Words>3133</Words>
  <Characters>17859</Characters>
  <Lines>148</Lines>
  <Paragraphs>41</Paragraphs>
  <TotalTime>162</TotalTime>
  <ScaleCrop>false</ScaleCrop>
  <LinksUpToDate>false</LinksUpToDate>
  <CharactersWithSpaces>20951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2025-02-04T08:03:00Z</dcterms:created>
  <dc:creator>Смирнова Ирина Александровна</dc:creator>
  <cp:lastModifiedBy>Kingsoft Corporation</cp:lastModifiedBy>
  <cp:lastPrinted>2026-02-04T11:45:00Z</cp:lastPrinted>
  <dcterms:modified xsi:type="dcterms:W3CDTF">2026-02-06T10:14:53Z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800A116DCB7F45158B971F24C10F3EBA_12</vt:lpwstr>
  </property>
</Properties>
</file>